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156"/>
        <w:tblW w:w="11619" w:type="dxa"/>
        <w:tblLayout w:type="fixed"/>
        <w:tblLook w:val="04A0" w:firstRow="1" w:lastRow="0" w:firstColumn="1" w:lastColumn="0" w:noHBand="0" w:noVBand="1"/>
      </w:tblPr>
      <w:tblGrid>
        <w:gridCol w:w="1560"/>
        <w:gridCol w:w="5811"/>
        <w:gridCol w:w="4248"/>
      </w:tblGrid>
      <w:tr w:rsidR="003A369F" w14:paraId="680CF49F" w14:textId="77777777" w:rsidTr="5BFDD365">
        <w:trPr>
          <w:trHeight w:val="557"/>
        </w:trPr>
        <w:tc>
          <w:tcPr>
            <w:tcW w:w="7371" w:type="dxa"/>
            <w:gridSpan w:val="2"/>
            <w:tcBorders>
              <w:top w:val="nil"/>
              <w:left w:val="nil"/>
              <w:bottom w:val="single" w:sz="4" w:space="0" w:color="auto"/>
            </w:tcBorders>
          </w:tcPr>
          <w:p w14:paraId="30626873" w14:textId="77777777" w:rsidR="003A369F" w:rsidRPr="00E12336" w:rsidRDefault="00111DFA" w:rsidP="00564D7A">
            <w:pPr>
              <w:jc w:val="center"/>
              <w:rPr>
                <w:b/>
              </w:rPr>
            </w:pPr>
            <w:r w:rsidRPr="00E12336">
              <w:rPr>
                <w:b/>
              </w:rPr>
              <w:t>TABLA DE CUALIFICACIÓN DOCENTE</w:t>
            </w:r>
          </w:p>
        </w:tc>
        <w:tc>
          <w:tcPr>
            <w:tcW w:w="4248" w:type="dxa"/>
          </w:tcPr>
          <w:p w14:paraId="65176530" w14:textId="77777777" w:rsidR="003A369F" w:rsidRDefault="003A369F" w:rsidP="00564D7A">
            <w:r>
              <w:t>Nº ECTS</w:t>
            </w:r>
          </w:p>
        </w:tc>
      </w:tr>
      <w:tr w:rsidR="003A369F" w14:paraId="3F80440A" w14:textId="77777777" w:rsidTr="5BFDD365">
        <w:trPr>
          <w:trHeight w:val="986"/>
        </w:trPr>
        <w:tc>
          <w:tcPr>
            <w:tcW w:w="7371" w:type="dxa"/>
            <w:gridSpan w:val="2"/>
            <w:tcBorders>
              <w:top w:val="single" w:sz="4" w:space="0" w:color="auto"/>
            </w:tcBorders>
          </w:tcPr>
          <w:p w14:paraId="03E7820F" w14:textId="77777777" w:rsidR="002726C7" w:rsidRPr="007579F8" w:rsidRDefault="007579F8" w:rsidP="00564D7A">
            <w:r w:rsidRPr="001D7F79">
              <w:rPr>
                <w:b/>
                <w:u w:val="single"/>
              </w:rPr>
              <w:t>MATERIA</w:t>
            </w:r>
            <w:r>
              <w:t xml:space="preserve">: </w:t>
            </w:r>
            <w:r w:rsidR="00045E2F">
              <w:t>DERECHO FINANCIERO Y TRIBUTARIO</w:t>
            </w:r>
          </w:p>
          <w:p w14:paraId="218DDA44" w14:textId="77777777" w:rsidR="002726C7" w:rsidRDefault="002726C7" w:rsidP="00564D7A">
            <w:pPr>
              <w:rPr>
                <w:u w:val="single"/>
              </w:rPr>
            </w:pPr>
          </w:p>
          <w:p w14:paraId="672A6659" w14:textId="086D3E68" w:rsidR="008C046A" w:rsidRPr="008C046A" w:rsidRDefault="008C046A" w:rsidP="00564D7A"/>
        </w:tc>
        <w:tc>
          <w:tcPr>
            <w:tcW w:w="4248" w:type="dxa"/>
          </w:tcPr>
          <w:p w14:paraId="0A37501D" w14:textId="2EED4218" w:rsidR="003A369F" w:rsidRDefault="003A369F" w:rsidP="00ED4FB1">
            <w:bookmarkStart w:id="0" w:name="_GoBack"/>
            <w:bookmarkEnd w:id="0"/>
          </w:p>
        </w:tc>
      </w:tr>
      <w:tr w:rsidR="003A369F" w14:paraId="3A5BAFD6" w14:textId="77777777" w:rsidTr="5BFDD365">
        <w:trPr>
          <w:trHeight w:val="469"/>
        </w:trPr>
        <w:tc>
          <w:tcPr>
            <w:tcW w:w="1560" w:type="dxa"/>
          </w:tcPr>
          <w:p w14:paraId="082FA663" w14:textId="77777777" w:rsidR="003A369F" w:rsidRDefault="003A369F" w:rsidP="00564D7A">
            <w:pPr>
              <w:rPr>
                <w:u w:val="single"/>
              </w:rPr>
            </w:pPr>
            <w:r w:rsidRPr="003A369F">
              <w:rPr>
                <w:u w:val="single"/>
              </w:rPr>
              <w:t>Perfil del profesor</w:t>
            </w:r>
          </w:p>
          <w:p w14:paraId="5DAB6C7B" w14:textId="77777777" w:rsidR="00F77EB7" w:rsidRDefault="00F77EB7" w:rsidP="00564D7A">
            <w:pPr>
              <w:rPr>
                <w:u w:val="single"/>
              </w:rPr>
            </w:pPr>
          </w:p>
          <w:p w14:paraId="02EB378F" w14:textId="77777777" w:rsidR="00F77EB7" w:rsidRDefault="00F77EB7" w:rsidP="00564D7A">
            <w:pPr>
              <w:rPr>
                <w:u w:val="single"/>
              </w:rPr>
            </w:pPr>
          </w:p>
          <w:p w14:paraId="6A05A809" w14:textId="77777777" w:rsidR="00F77EB7" w:rsidRDefault="00F77EB7" w:rsidP="00564D7A">
            <w:pPr>
              <w:rPr>
                <w:u w:val="single"/>
              </w:rPr>
            </w:pPr>
          </w:p>
          <w:p w14:paraId="5A39BBE3" w14:textId="77777777" w:rsidR="00F77EB7" w:rsidRDefault="00F77EB7" w:rsidP="00564D7A">
            <w:pPr>
              <w:rPr>
                <w:u w:val="single"/>
              </w:rPr>
            </w:pPr>
          </w:p>
          <w:p w14:paraId="41C8F396" w14:textId="77777777" w:rsidR="00F77EB7" w:rsidRDefault="00F77EB7" w:rsidP="00564D7A">
            <w:pPr>
              <w:rPr>
                <w:u w:val="single"/>
              </w:rPr>
            </w:pPr>
          </w:p>
          <w:p w14:paraId="72A3D3EC" w14:textId="77777777" w:rsidR="00F77EB7" w:rsidRDefault="00F77EB7" w:rsidP="00564D7A">
            <w:pPr>
              <w:rPr>
                <w:u w:val="single"/>
              </w:rPr>
            </w:pPr>
          </w:p>
          <w:p w14:paraId="0D0B940D" w14:textId="77777777" w:rsidR="00F77EB7" w:rsidRDefault="00F77EB7" w:rsidP="00564D7A">
            <w:pPr>
              <w:rPr>
                <w:u w:val="single"/>
              </w:rPr>
            </w:pPr>
          </w:p>
          <w:p w14:paraId="0E27B00A" w14:textId="77777777" w:rsidR="00F77EB7" w:rsidRPr="003A369F" w:rsidRDefault="00F77EB7" w:rsidP="00564D7A">
            <w:pPr>
              <w:rPr>
                <w:u w:val="single"/>
              </w:rPr>
            </w:pPr>
          </w:p>
        </w:tc>
        <w:tc>
          <w:tcPr>
            <w:tcW w:w="10059" w:type="dxa"/>
            <w:gridSpan w:val="2"/>
          </w:tcPr>
          <w:p w14:paraId="03C3D912" w14:textId="77777777" w:rsidR="00AE27A6" w:rsidRPr="00564D7A" w:rsidRDefault="00AE27A6" w:rsidP="00564D7A">
            <w:pPr>
              <w:rPr>
                <w:rFonts w:ascii="Arial" w:hAnsi="Arial" w:cs="Arial"/>
                <w:sz w:val="20"/>
                <w:szCs w:val="20"/>
              </w:rPr>
            </w:pPr>
            <w:r w:rsidRPr="00564D7A">
              <w:rPr>
                <w:rFonts w:ascii="Arial" w:hAnsi="Arial" w:cs="Arial"/>
                <w:sz w:val="20"/>
                <w:szCs w:val="20"/>
                <w:u w:val="single"/>
              </w:rPr>
              <w:t>Títulos académicos / Formación profesional</w:t>
            </w:r>
            <w:r w:rsidRPr="00564D7A">
              <w:rPr>
                <w:rFonts w:ascii="Arial" w:hAnsi="Arial" w:cs="Arial"/>
                <w:sz w:val="20"/>
                <w:szCs w:val="20"/>
              </w:rPr>
              <w:t xml:space="preserve">: </w:t>
            </w:r>
          </w:p>
          <w:p w14:paraId="075B72C8" w14:textId="34B872FD" w:rsidR="00AE27A6" w:rsidRPr="00564D7A" w:rsidRDefault="00AE27A6" w:rsidP="00564D7A">
            <w:pPr>
              <w:pStyle w:val="Sangradetextonormal"/>
              <w:widowControl/>
              <w:suppressAutoHyphens w:val="0"/>
              <w:spacing w:after="0"/>
              <w:ind w:left="0"/>
              <w:jc w:val="both"/>
              <w:rPr>
                <w:rFonts w:ascii="Arial" w:hAnsi="Arial" w:cs="Arial"/>
                <w:sz w:val="20"/>
                <w:szCs w:val="20"/>
              </w:rPr>
            </w:pPr>
            <w:r w:rsidRPr="00564D7A">
              <w:rPr>
                <w:rFonts w:ascii="Arial" w:hAnsi="Arial" w:cs="Arial"/>
                <w:sz w:val="20"/>
                <w:szCs w:val="20"/>
              </w:rPr>
              <w:t>-Licenciado en Derech</w:t>
            </w:r>
            <w:r w:rsidR="0063576A">
              <w:rPr>
                <w:rFonts w:ascii="Arial" w:hAnsi="Arial" w:cs="Arial"/>
                <w:sz w:val="20"/>
                <w:szCs w:val="20"/>
              </w:rPr>
              <w:t>o por la Universidad de Granada</w:t>
            </w:r>
            <w:proofErr w:type="gramStart"/>
            <w:r w:rsidRPr="00564D7A">
              <w:rPr>
                <w:rFonts w:ascii="Arial" w:hAnsi="Arial" w:cs="Arial"/>
                <w:sz w:val="20"/>
                <w:szCs w:val="20"/>
              </w:rPr>
              <w:t>,1976</w:t>
            </w:r>
            <w:proofErr w:type="gramEnd"/>
            <w:r w:rsidRPr="00564D7A">
              <w:rPr>
                <w:rFonts w:ascii="Arial" w:hAnsi="Arial" w:cs="Arial"/>
                <w:sz w:val="20"/>
                <w:szCs w:val="20"/>
              </w:rPr>
              <w:t>.</w:t>
            </w:r>
            <w:r w:rsidR="00BD0BAB" w:rsidRPr="00564D7A">
              <w:rPr>
                <w:rFonts w:ascii="Arial" w:hAnsi="Arial" w:cs="Arial"/>
                <w:sz w:val="20"/>
                <w:szCs w:val="20"/>
              </w:rPr>
              <w:t xml:space="preserve"> (Primer Premio Nacional Fin de Carrera, Promoción jurídica 1971-1976).</w:t>
            </w:r>
          </w:p>
          <w:p w14:paraId="6556F3E9" w14:textId="23202F1A" w:rsidR="00B10ED9" w:rsidRPr="00564D7A" w:rsidRDefault="00AE27A6" w:rsidP="00564D7A">
            <w:pPr>
              <w:rPr>
                <w:rFonts w:ascii="Arial" w:hAnsi="Arial" w:cs="Arial"/>
                <w:sz w:val="20"/>
                <w:szCs w:val="20"/>
              </w:rPr>
            </w:pPr>
            <w:r w:rsidRPr="00564D7A">
              <w:rPr>
                <w:rFonts w:ascii="Arial" w:hAnsi="Arial" w:cs="Arial"/>
                <w:sz w:val="20"/>
                <w:szCs w:val="20"/>
              </w:rPr>
              <w:t>-Doctor en Derecho por la Univer</w:t>
            </w:r>
            <w:r w:rsidR="00BD0BAB" w:rsidRPr="00564D7A">
              <w:rPr>
                <w:rFonts w:ascii="Arial" w:hAnsi="Arial" w:cs="Arial"/>
                <w:sz w:val="20"/>
                <w:szCs w:val="20"/>
              </w:rPr>
              <w:t xml:space="preserve">sidad de Bolonia (Italia), 1979. Sobresaliente </w:t>
            </w:r>
            <w:r w:rsidR="00BD0BAB" w:rsidRPr="00564D7A">
              <w:rPr>
                <w:rFonts w:ascii="Arial" w:hAnsi="Arial" w:cs="Arial"/>
                <w:i/>
                <w:sz w:val="20"/>
                <w:szCs w:val="20"/>
              </w:rPr>
              <w:t>Cum Laude</w:t>
            </w:r>
            <w:r w:rsidR="00BD0BAB" w:rsidRPr="00564D7A">
              <w:rPr>
                <w:rFonts w:ascii="Arial" w:hAnsi="Arial" w:cs="Arial"/>
                <w:sz w:val="20"/>
                <w:szCs w:val="20"/>
              </w:rPr>
              <w:t xml:space="preserve">. </w:t>
            </w:r>
          </w:p>
          <w:p w14:paraId="3D86183E" w14:textId="24BBAE19" w:rsidR="00BD0BAB" w:rsidRPr="00564D7A" w:rsidRDefault="00AE27A6" w:rsidP="00564D7A">
            <w:pPr>
              <w:pStyle w:val="Sangradetextonormal"/>
              <w:spacing w:line="276" w:lineRule="auto"/>
              <w:ind w:left="0"/>
              <w:rPr>
                <w:rFonts w:ascii="Arial" w:hAnsi="Arial" w:cs="Arial"/>
                <w:sz w:val="20"/>
                <w:szCs w:val="20"/>
              </w:rPr>
            </w:pPr>
            <w:r w:rsidRPr="00564D7A">
              <w:rPr>
                <w:rFonts w:ascii="Arial" w:hAnsi="Arial" w:cs="Arial"/>
                <w:sz w:val="20"/>
                <w:szCs w:val="20"/>
              </w:rPr>
              <w:t>-Becario de la Fundación Oriol-</w:t>
            </w:r>
            <w:proofErr w:type="spellStart"/>
            <w:r w:rsidRPr="00564D7A">
              <w:rPr>
                <w:rFonts w:ascii="Arial" w:hAnsi="Arial" w:cs="Arial"/>
                <w:sz w:val="20"/>
                <w:szCs w:val="20"/>
              </w:rPr>
              <w:t>Urquijo</w:t>
            </w:r>
            <w:proofErr w:type="spellEnd"/>
            <w:r w:rsidRPr="00564D7A">
              <w:rPr>
                <w:rFonts w:ascii="Arial" w:hAnsi="Arial" w:cs="Arial"/>
                <w:sz w:val="20"/>
                <w:szCs w:val="20"/>
              </w:rPr>
              <w:t xml:space="preserve"> (1977), del Real Colegio de España en Bolonia (1978-1979) y de la Fundación J. March (1982)</w:t>
            </w:r>
            <w:r w:rsidR="00BD0BAB" w:rsidRPr="00564D7A">
              <w:rPr>
                <w:rFonts w:ascii="Arial" w:hAnsi="Arial" w:cs="Arial"/>
                <w:sz w:val="20"/>
                <w:szCs w:val="20"/>
              </w:rPr>
              <w:t>.</w:t>
            </w:r>
          </w:p>
          <w:p w14:paraId="418409BA" w14:textId="77777777" w:rsidR="00BD0BAB" w:rsidRPr="00564D7A" w:rsidRDefault="00BD0BAB" w:rsidP="00564D7A">
            <w:pPr>
              <w:pStyle w:val="Sangradetextonormal"/>
              <w:spacing w:line="276" w:lineRule="auto"/>
              <w:ind w:left="0"/>
              <w:rPr>
                <w:rFonts w:ascii="Arial" w:hAnsi="Arial" w:cs="Arial"/>
                <w:sz w:val="20"/>
                <w:szCs w:val="20"/>
              </w:rPr>
            </w:pPr>
            <w:r w:rsidRPr="00564D7A">
              <w:rPr>
                <w:rFonts w:ascii="Arial" w:hAnsi="Arial" w:cs="Arial"/>
                <w:sz w:val="20"/>
                <w:szCs w:val="20"/>
              </w:rPr>
              <w:t>-Catedrático de Derecho Financiero y Tributario en las Universidades de Granada (1986-1988); Autónoma de Barcelona (1988-1993) y Complutense de Madrid (desde enero de 1994).</w:t>
            </w:r>
          </w:p>
          <w:p w14:paraId="1292349A" w14:textId="253FC310" w:rsidR="00BD0BAB" w:rsidRPr="00564D7A" w:rsidRDefault="00B10ED9" w:rsidP="00564D7A">
            <w:pPr>
              <w:pStyle w:val="Sangradetextonormal"/>
              <w:spacing w:line="276" w:lineRule="auto"/>
              <w:ind w:left="0"/>
              <w:rPr>
                <w:rFonts w:ascii="Arial" w:hAnsi="Arial" w:cs="Arial"/>
                <w:sz w:val="20"/>
                <w:szCs w:val="20"/>
              </w:rPr>
            </w:pPr>
            <w:r>
              <w:rPr>
                <w:rFonts w:ascii="Arial" w:hAnsi="Arial" w:cs="Arial"/>
                <w:sz w:val="20"/>
                <w:szCs w:val="20"/>
              </w:rPr>
              <w:t xml:space="preserve">-  </w:t>
            </w:r>
            <w:r w:rsidR="00BD0BAB" w:rsidRPr="00564D7A">
              <w:rPr>
                <w:rFonts w:ascii="Arial" w:hAnsi="Arial" w:cs="Arial"/>
                <w:sz w:val="20"/>
                <w:szCs w:val="20"/>
              </w:rPr>
              <w:t>Cuatro Sexenios de Investigación reconocidos por el Ministerio de Educación y Ciencia.</w:t>
            </w:r>
          </w:p>
          <w:p w14:paraId="44C5CC3F" w14:textId="77777777" w:rsidR="00045E2F" w:rsidRPr="00564D7A" w:rsidRDefault="001D7F79" w:rsidP="00564D7A">
            <w:pPr>
              <w:tabs>
                <w:tab w:val="left" w:pos="7683"/>
              </w:tabs>
              <w:ind w:right="3549"/>
              <w:rPr>
                <w:rFonts w:ascii="Arial" w:hAnsi="Arial" w:cs="Arial"/>
                <w:sz w:val="20"/>
                <w:szCs w:val="20"/>
                <w:u w:val="single"/>
              </w:rPr>
            </w:pPr>
            <w:r w:rsidRPr="00564D7A">
              <w:rPr>
                <w:rFonts w:ascii="Arial" w:hAnsi="Arial" w:cs="Arial"/>
                <w:sz w:val="20"/>
                <w:szCs w:val="20"/>
                <w:u w:val="single"/>
              </w:rPr>
              <w:t xml:space="preserve">Experiencia docente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045E2F" w:rsidRPr="00564D7A" w14:paraId="34348D42" w14:textId="77777777" w:rsidTr="00F34907">
              <w:tc>
                <w:tcPr>
                  <w:tcW w:w="9638" w:type="dxa"/>
                  <w:tcBorders>
                    <w:top w:val="none" w:sz="1" w:space="0" w:color="000000"/>
                    <w:left w:val="none" w:sz="1" w:space="0" w:color="000000"/>
                    <w:bottom w:val="none" w:sz="1" w:space="0" w:color="000000"/>
                    <w:right w:val="none" w:sz="1" w:space="0" w:color="000000"/>
                  </w:tcBorders>
                  <w:shd w:val="clear" w:color="auto" w:fill="auto"/>
                </w:tcPr>
                <w:p w14:paraId="7491DEE1" w14:textId="6D69C872" w:rsidR="00045E2F"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Catedrático de Derecho Financiero y Tributario en las Universidades de Granada (1986-1988); Autónoma de Barcelona (1988-1993) y Complutense de Madrid (desde enero de 1994).</w:t>
                  </w:r>
                </w:p>
              </w:tc>
            </w:tr>
            <w:tr w:rsidR="00045E2F" w:rsidRPr="00564D7A" w14:paraId="2185FDE9" w14:textId="77777777" w:rsidTr="00F34907">
              <w:tc>
                <w:tcPr>
                  <w:tcW w:w="9638" w:type="dxa"/>
                  <w:tcBorders>
                    <w:left w:val="none" w:sz="1" w:space="0" w:color="000000"/>
                    <w:bottom w:val="none" w:sz="1" w:space="0" w:color="000000"/>
                    <w:right w:val="none" w:sz="1" w:space="0" w:color="000000"/>
                  </w:tcBorders>
                  <w:shd w:val="clear" w:color="auto" w:fill="auto"/>
                </w:tcPr>
                <w:p w14:paraId="0BCE6550" w14:textId="0E3BADCF" w:rsidR="00045E2F"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Cursos de Licenciatura y de Postgrado en las Universidades de Granada, Autónoma de Barcelona y Complutense de Madrid</w:t>
                  </w:r>
                </w:p>
              </w:tc>
            </w:tr>
            <w:tr w:rsidR="00045E2F" w:rsidRPr="00564D7A" w14:paraId="0DFEA2E4" w14:textId="77777777" w:rsidTr="00F34907">
              <w:tc>
                <w:tcPr>
                  <w:tcW w:w="9638" w:type="dxa"/>
                  <w:tcBorders>
                    <w:left w:val="none" w:sz="1" w:space="0" w:color="000000"/>
                    <w:bottom w:val="none" w:sz="1" w:space="0" w:color="000000"/>
                    <w:right w:val="none" w:sz="1" w:space="0" w:color="000000"/>
                  </w:tcBorders>
                  <w:shd w:val="clear" w:color="auto" w:fill="auto"/>
                </w:tcPr>
                <w:p w14:paraId="615C8A44" w14:textId="2287A35C" w:rsidR="00045E2F"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 xml:space="preserve">Profesor visitante de diversas Universidades y Centros de Investigación Europeos e Iberoamericanos: </w:t>
                  </w:r>
                </w:p>
              </w:tc>
            </w:tr>
            <w:tr w:rsidR="00045E2F" w:rsidRPr="00564D7A" w14:paraId="2627088E" w14:textId="77777777" w:rsidTr="00F34907">
              <w:tc>
                <w:tcPr>
                  <w:tcW w:w="9638" w:type="dxa"/>
                  <w:tcBorders>
                    <w:left w:val="none" w:sz="1" w:space="0" w:color="000000"/>
                    <w:bottom w:val="none" w:sz="1" w:space="0" w:color="000000"/>
                    <w:right w:val="none" w:sz="1" w:space="0" w:color="000000"/>
                  </w:tcBorders>
                  <w:shd w:val="clear" w:color="auto" w:fill="auto"/>
                </w:tcPr>
                <w:p w14:paraId="55530814" w14:textId="77777777" w:rsidR="00045E2F"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proofErr w:type="spellStart"/>
                  <w:r w:rsidR="00045E2F" w:rsidRPr="00564D7A">
                    <w:rPr>
                      <w:rFonts w:ascii="Arial" w:hAnsi="Arial" w:cs="Arial"/>
                      <w:sz w:val="20"/>
                      <w:szCs w:val="20"/>
                    </w:rPr>
                    <w:t>Ecole</w:t>
                  </w:r>
                  <w:proofErr w:type="spellEnd"/>
                  <w:r w:rsidR="00045E2F" w:rsidRPr="00564D7A">
                    <w:rPr>
                      <w:rFonts w:ascii="Arial" w:hAnsi="Arial" w:cs="Arial"/>
                      <w:sz w:val="20"/>
                      <w:szCs w:val="20"/>
                    </w:rPr>
                    <w:t xml:space="preserve"> </w:t>
                  </w:r>
                  <w:proofErr w:type="spellStart"/>
                  <w:r w:rsidR="00045E2F" w:rsidRPr="00564D7A">
                    <w:rPr>
                      <w:rFonts w:ascii="Arial" w:hAnsi="Arial" w:cs="Arial"/>
                      <w:sz w:val="20"/>
                      <w:szCs w:val="20"/>
                    </w:rPr>
                    <w:t>Superieure</w:t>
                  </w:r>
                  <w:proofErr w:type="spellEnd"/>
                  <w:r w:rsidR="00045E2F" w:rsidRPr="00564D7A">
                    <w:rPr>
                      <w:rFonts w:ascii="Arial" w:hAnsi="Arial" w:cs="Arial"/>
                      <w:sz w:val="20"/>
                      <w:szCs w:val="20"/>
                    </w:rPr>
                    <w:t xml:space="preserve"> des </w:t>
                  </w:r>
                  <w:proofErr w:type="spellStart"/>
                  <w:r w:rsidR="00045E2F" w:rsidRPr="00564D7A">
                    <w:rPr>
                      <w:rFonts w:ascii="Arial" w:hAnsi="Arial" w:cs="Arial"/>
                      <w:sz w:val="20"/>
                      <w:szCs w:val="20"/>
                    </w:rPr>
                    <w:t>Sciences</w:t>
                  </w:r>
                  <w:proofErr w:type="spellEnd"/>
                  <w:r w:rsidR="00045E2F" w:rsidRPr="00564D7A">
                    <w:rPr>
                      <w:rFonts w:ascii="Arial" w:hAnsi="Arial" w:cs="Arial"/>
                      <w:sz w:val="20"/>
                      <w:szCs w:val="20"/>
                    </w:rPr>
                    <w:t xml:space="preserve"> Fiscales, Bruselas (Bélgica), Universidad París II (Francia), Universidad de Bérgamo (Italia), Univers</w:t>
                  </w:r>
                  <w:r>
                    <w:rPr>
                      <w:rFonts w:ascii="Arial" w:hAnsi="Arial" w:cs="Arial"/>
                      <w:sz w:val="20"/>
                      <w:szCs w:val="20"/>
                    </w:rPr>
                    <w:t xml:space="preserve">idad </w:t>
                  </w:r>
                  <w:proofErr w:type="spellStart"/>
                  <w:r>
                    <w:rPr>
                      <w:rFonts w:ascii="Arial" w:hAnsi="Arial" w:cs="Arial"/>
                      <w:sz w:val="20"/>
                      <w:szCs w:val="20"/>
                    </w:rPr>
                    <w:t>Tor</w:t>
                  </w:r>
                  <w:proofErr w:type="spellEnd"/>
                  <w:r>
                    <w:rPr>
                      <w:rFonts w:ascii="Arial" w:hAnsi="Arial" w:cs="Arial"/>
                      <w:sz w:val="20"/>
                      <w:szCs w:val="20"/>
                    </w:rPr>
                    <w:t xml:space="preserve"> </w:t>
                  </w:r>
                  <w:proofErr w:type="spellStart"/>
                  <w:r>
                    <w:rPr>
                      <w:rFonts w:ascii="Arial" w:hAnsi="Arial" w:cs="Arial"/>
                      <w:sz w:val="20"/>
                      <w:szCs w:val="20"/>
                    </w:rPr>
                    <w:t>Vergata</w:t>
                  </w:r>
                  <w:proofErr w:type="spellEnd"/>
                  <w:r>
                    <w:rPr>
                      <w:rFonts w:ascii="Arial" w:hAnsi="Arial" w:cs="Arial"/>
                      <w:sz w:val="20"/>
                      <w:szCs w:val="20"/>
                    </w:rPr>
                    <w:t xml:space="preserve">, Roma (Italia), </w:t>
                  </w:r>
                  <w:proofErr w:type="spellStart"/>
                  <w:r w:rsidRPr="0063576A">
                    <w:rPr>
                      <w:rFonts w:ascii="Arial" w:hAnsi="Arial" w:cs="Arial"/>
                      <w:sz w:val="20"/>
                      <w:szCs w:val="20"/>
                    </w:rPr>
                    <w:t>Seconda</w:t>
                  </w:r>
                  <w:proofErr w:type="spellEnd"/>
                  <w:r w:rsidRPr="0063576A">
                    <w:rPr>
                      <w:rFonts w:ascii="Arial" w:hAnsi="Arial" w:cs="Arial"/>
                      <w:sz w:val="20"/>
                      <w:szCs w:val="20"/>
                    </w:rPr>
                    <w:t xml:space="preserve"> </w:t>
                  </w:r>
                  <w:proofErr w:type="spellStart"/>
                  <w:r w:rsidRPr="0063576A">
                    <w:rPr>
                      <w:rFonts w:ascii="Arial" w:hAnsi="Arial" w:cs="Arial"/>
                      <w:sz w:val="20"/>
                      <w:szCs w:val="20"/>
                    </w:rPr>
                    <w:t>Universitá</w:t>
                  </w:r>
                  <w:proofErr w:type="spellEnd"/>
                  <w:r w:rsidRPr="0063576A">
                    <w:rPr>
                      <w:rFonts w:ascii="Arial" w:hAnsi="Arial" w:cs="Arial"/>
                      <w:sz w:val="20"/>
                      <w:szCs w:val="20"/>
                    </w:rPr>
                    <w:t xml:space="preserve"> di </w:t>
                  </w:r>
                  <w:proofErr w:type="spellStart"/>
                  <w:r w:rsidRPr="0063576A">
                    <w:rPr>
                      <w:rFonts w:ascii="Arial" w:hAnsi="Arial" w:cs="Arial"/>
                      <w:sz w:val="20"/>
                      <w:szCs w:val="20"/>
                    </w:rPr>
                    <w:t>Napoles</w:t>
                  </w:r>
                  <w:proofErr w:type="spellEnd"/>
                  <w:r w:rsidRPr="0063576A">
                    <w:rPr>
                      <w:rFonts w:ascii="Arial" w:hAnsi="Arial" w:cs="Arial"/>
                      <w:sz w:val="20"/>
                      <w:szCs w:val="20"/>
                    </w:rPr>
                    <w:t xml:space="preserve">, Caserta (Italia); </w:t>
                  </w:r>
                  <w:proofErr w:type="spellStart"/>
                  <w:r w:rsidRPr="0063576A">
                    <w:rPr>
                      <w:rFonts w:ascii="Arial" w:hAnsi="Arial" w:cs="Arial"/>
                      <w:sz w:val="20"/>
                      <w:szCs w:val="20"/>
                    </w:rPr>
                    <w:t>Universitá</w:t>
                  </w:r>
                  <w:proofErr w:type="spellEnd"/>
                  <w:r w:rsidRPr="0063576A">
                    <w:rPr>
                      <w:rFonts w:ascii="Arial" w:hAnsi="Arial" w:cs="Arial"/>
                      <w:sz w:val="20"/>
                      <w:szCs w:val="20"/>
                    </w:rPr>
                    <w:t xml:space="preserve"> de Catania (Italia), </w:t>
                  </w:r>
                  <w:proofErr w:type="spellStart"/>
                  <w:r w:rsidRPr="0063576A">
                    <w:rPr>
                      <w:rFonts w:ascii="Arial" w:hAnsi="Arial" w:cs="Arial"/>
                      <w:sz w:val="20"/>
                      <w:szCs w:val="20"/>
                    </w:rPr>
                    <w:t>Universitá</w:t>
                  </w:r>
                  <w:proofErr w:type="spellEnd"/>
                  <w:r w:rsidRPr="0063576A">
                    <w:rPr>
                      <w:rFonts w:ascii="Arial" w:hAnsi="Arial" w:cs="Arial"/>
                      <w:sz w:val="20"/>
                      <w:szCs w:val="20"/>
                    </w:rPr>
                    <w:t xml:space="preserve"> L</w:t>
                  </w:r>
                  <w:r>
                    <w:rPr>
                      <w:rFonts w:ascii="Arial" w:hAnsi="Arial" w:cs="Arial"/>
                      <w:sz w:val="20"/>
                      <w:szCs w:val="20"/>
                    </w:rPr>
                    <w:t xml:space="preserve">uigi </w:t>
                  </w:r>
                  <w:proofErr w:type="spellStart"/>
                  <w:r>
                    <w:rPr>
                      <w:rFonts w:ascii="Arial" w:hAnsi="Arial" w:cs="Arial"/>
                      <w:sz w:val="20"/>
                      <w:szCs w:val="20"/>
                    </w:rPr>
                    <w:t>Bocconi</w:t>
                  </w:r>
                  <w:proofErr w:type="spellEnd"/>
                  <w:r>
                    <w:rPr>
                      <w:rFonts w:ascii="Arial" w:hAnsi="Arial" w:cs="Arial"/>
                      <w:sz w:val="20"/>
                      <w:szCs w:val="20"/>
                    </w:rPr>
                    <w:t xml:space="preserve"> di Milano (Italia),</w:t>
                  </w:r>
                  <w:r w:rsidRPr="00564D7A">
                    <w:rPr>
                      <w:rFonts w:ascii="Arial" w:hAnsi="Arial" w:cs="Arial"/>
                      <w:sz w:val="20"/>
                      <w:szCs w:val="20"/>
                    </w:rPr>
                    <w:t xml:space="preserve"> Universidad </w:t>
                  </w:r>
                  <w:proofErr w:type="spellStart"/>
                  <w:r w:rsidRPr="00564D7A">
                    <w:rPr>
                      <w:rFonts w:ascii="Arial" w:hAnsi="Arial" w:cs="Arial"/>
                      <w:sz w:val="20"/>
                      <w:szCs w:val="20"/>
                    </w:rPr>
                    <w:t>Lusiada</w:t>
                  </w:r>
                  <w:proofErr w:type="spellEnd"/>
                  <w:r w:rsidRPr="00564D7A">
                    <w:rPr>
                      <w:rFonts w:ascii="Arial" w:hAnsi="Arial" w:cs="Arial"/>
                      <w:sz w:val="20"/>
                      <w:szCs w:val="20"/>
                    </w:rPr>
                    <w:t>, Lisboa (Portugal)</w:t>
                  </w:r>
                  <w:r>
                    <w:rPr>
                      <w:rFonts w:ascii="Arial" w:hAnsi="Arial" w:cs="Arial"/>
                      <w:sz w:val="20"/>
                      <w:szCs w:val="20"/>
                    </w:rPr>
                    <w:t>.</w:t>
                  </w:r>
                </w:p>
                <w:p w14:paraId="1626D91C" w14:textId="155E10DB" w:rsidR="0063576A"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p>
              </w:tc>
            </w:tr>
            <w:tr w:rsidR="00045E2F" w:rsidRPr="00564D7A" w14:paraId="4CB75B71" w14:textId="77777777" w:rsidTr="00F34907">
              <w:tc>
                <w:tcPr>
                  <w:tcW w:w="9638" w:type="dxa"/>
                  <w:tcBorders>
                    <w:left w:val="none" w:sz="1" w:space="0" w:color="000000"/>
                    <w:bottom w:val="none" w:sz="1" w:space="0" w:color="000000"/>
                    <w:right w:val="none" w:sz="1" w:space="0" w:color="000000"/>
                  </w:tcBorders>
                  <w:shd w:val="clear" w:color="auto" w:fill="auto"/>
                </w:tcPr>
                <w:p w14:paraId="10CC56DA" w14:textId="349BBA9E" w:rsidR="00045E2F"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 xml:space="preserve">Universidad Nacional Autónoma de México (UNAM, México), Universidad </w:t>
                  </w:r>
                  <w:proofErr w:type="spellStart"/>
                  <w:r w:rsidR="00045E2F" w:rsidRPr="00564D7A">
                    <w:rPr>
                      <w:rFonts w:ascii="Arial" w:hAnsi="Arial" w:cs="Arial"/>
                      <w:sz w:val="20"/>
                      <w:szCs w:val="20"/>
                    </w:rPr>
                    <w:t>Anahuac</w:t>
                  </w:r>
                  <w:proofErr w:type="spellEnd"/>
                  <w:r w:rsidR="00045E2F" w:rsidRPr="00564D7A">
                    <w:rPr>
                      <w:rFonts w:ascii="Arial" w:hAnsi="Arial" w:cs="Arial"/>
                      <w:sz w:val="20"/>
                      <w:szCs w:val="20"/>
                    </w:rPr>
                    <w:t xml:space="preserve"> del Sur (México), Universidad Panamericana (México), </w:t>
                  </w:r>
                  <w:r w:rsidRPr="00564D7A">
                    <w:rPr>
                      <w:rFonts w:ascii="Arial" w:hAnsi="Arial" w:cs="Arial"/>
                      <w:sz w:val="20"/>
                      <w:szCs w:val="20"/>
                    </w:rPr>
                    <w:t xml:space="preserve"> Universidad Austral de Buenos Aires (Argentina), Universidad de Belgrano (Argentina), Universidad de Buenos Aires (Argentina), Universidad Católica de Córdoba (Argentina), Universidad Nacional de Córdoba (Argentina), Universidad de Rosario (Argentina) Universidad del Salvador, Buenos Aires (Argentina); Universidad Nacional de Lomas de Zamora (Argentina), Academia Nacional de Derecho, Córdoba (Argentina)</w:t>
                  </w:r>
                  <w:r>
                    <w:rPr>
                      <w:rFonts w:ascii="Arial" w:hAnsi="Arial" w:cs="Arial"/>
                      <w:sz w:val="20"/>
                      <w:szCs w:val="20"/>
                    </w:rPr>
                    <w:t xml:space="preserve">, </w:t>
                  </w:r>
                  <w:r w:rsidRPr="00564D7A">
                    <w:rPr>
                      <w:rFonts w:ascii="Arial" w:hAnsi="Arial" w:cs="Arial"/>
                      <w:sz w:val="20"/>
                      <w:szCs w:val="20"/>
                    </w:rPr>
                    <w:t xml:space="preserve"> Universidad de Puerto Rico, San Juan (Puerto Rico)</w:t>
                  </w:r>
                  <w:r>
                    <w:rPr>
                      <w:rFonts w:ascii="Arial" w:hAnsi="Arial" w:cs="Arial"/>
                      <w:sz w:val="20"/>
                      <w:szCs w:val="20"/>
                    </w:rPr>
                    <w:t xml:space="preserve">, </w:t>
                  </w:r>
                  <w:r>
                    <w:t xml:space="preserve"> </w:t>
                  </w:r>
                  <w:r w:rsidRPr="0063576A">
                    <w:rPr>
                      <w:rFonts w:ascii="Arial" w:hAnsi="Arial" w:cs="Arial"/>
                      <w:sz w:val="20"/>
                      <w:szCs w:val="20"/>
                    </w:rPr>
                    <w:t>Universidad de Talca (Chile), Centro de Estudios Tributarios (Costa Rica), Universidad para la Cooperación Internacional (UCI, Costa Rica), Universidad Latinoamericana de Ciencia y Tecnología de San José de Costa Rica (Costa Rica),</w:t>
                  </w:r>
                  <w:r w:rsidRPr="00564D7A">
                    <w:rPr>
                      <w:rFonts w:ascii="Arial" w:hAnsi="Arial" w:cs="Arial"/>
                      <w:sz w:val="20"/>
                      <w:szCs w:val="20"/>
                    </w:rPr>
                    <w:t xml:space="preserve"> Universidad de la República de Uruguay, Montevideo (Uruguay); Universidad de los Andes, Mérida (Venezuela), Universidad Católica de </w:t>
                  </w:r>
                  <w:proofErr w:type="spellStart"/>
                  <w:r w:rsidRPr="00564D7A">
                    <w:rPr>
                      <w:rFonts w:ascii="Arial" w:hAnsi="Arial" w:cs="Arial"/>
                      <w:sz w:val="20"/>
                      <w:szCs w:val="20"/>
                    </w:rPr>
                    <w:t>Tachira</w:t>
                  </w:r>
                  <w:proofErr w:type="spellEnd"/>
                  <w:r w:rsidRPr="00564D7A">
                    <w:rPr>
                      <w:rFonts w:ascii="Arial" w:hAnsi="Arial" w:cs="Arial"/>
                      <w:sz w:val="20"/>
                      <w:szCs w:val="20"/>
                    </w:rPr>
                    <w:t>, San Cristóbal (Venezuela).</w:t>
                  </w:r>
                </w:p>
                <w:p w14:paraId="08D49258" w14:textId="0A41F135" w:rsidR="0063576A"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63576A" w:rsidRPr="00564D7A" w14:paraId="167810A4" w14:textId="77777777" w:rsidTr="00121A29">
                    <w:tc>
                      <w:tcPr>
                        <w:tcW w:w="9638" w:type="dxa"/>
                        <w:tcBorders>
                          <w:left w:val="none" w:sz="1" w:space="0" w:color="000000"/>
                          <w:bottom w:val="none" w:sz="1" w:space="0" w:color="000000"/>
                          <w:right w:val="none" w:sz="1" w:space="0" w:color="000000"/>
                        </w:tcBorders>
                        <w:shd w:val="clear" w:color="auto" w:fill="auto"/>
                      </w:tcPr>
                      <w:p w14:paraId="5DFEE3DA" w14:textId="6E8100C2" w:rsidR="0063576A" w:rsidRPr="00564D7A" w:rsidRDefault="0063576A" w:rsidP="007D3B49">
                        <w:pPr>
                          <w:framePr w:hSpace="141" w:wrap="around" w:vAnchor="page" w:hAnchor="margin" w:xAlign="center" w:y="1156"/>
                          <w:widowControl w:val="0"/>
                          <w:tabs>
                            <w:tab w:val="left" w:pos="9102"/>
                          </w:tabs>
                          <w:suppressAutoHyphens/>
                          <w:spacing w:after="0" w:line="240" w:lineRule="auto"/>
                          <w:jc w:val="both"/>
                          <w:rPr>
                            <w:rFonts w:ascii="Arial" w:hAnsi="Arial" w:cs="Arial"/>
                            <w:sz w:val="20"/>
                            <w:szCs w:val="20"/>
                          </w:rPr>
                        </w:pPr>
                      </w:p>
                    </w:tc>
                  </w:tr>
                </w:tbl>
                <w:p w14:paraId="63C7A5C7" w14:textId="06CD30C4" w:rsidR="0063576A" w:rsidRPr="00564D7A" w:rsidRDefault="0063576A"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p>
              </w:tc>
            </w:tr>
            <w:tr w:rsidR="00045E2F" w:rsidRPr="00564D7A" w14:paraId="75E3D33C" w14:textId="77777777" w:rsidTr="00F34907">
              <w:tc>
                <w:tcPr>
                  <w:tcW w:w="9638" w:type="dxa"/>
                  <w:tcBorders>
                    <w:left w:val="none" w:sz="1" w:space="0" w:color="000000"/>
                    <w:bottom w:val="none" w:sz="1" w:space="0" w:color="000000"/>
                    <w:right w:val="none" w:sz="1" w:space="0" w:color="000000"/>
                  </w:tcBorders>
                  <w:shd w:val="clear" w:color="auto" w:fill="auto"/>
                </w:tcPr>
                <w:p w14:paraId="3E2987D5" w14:textId="75E861ED" w:rsidR="00045E2F"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p>
              </w:tc>
            </w:tr>
          </w:tbl>
          <w:p w14:paraId="60061E4C" w14:textId="77777777" w:rsidR="001D7F79" w:rsidRPr="00564D7A" w:rsidRDefault="001D7F79" w:rsidP="00564D7A">
            <w:pPr>
              <w:rPr>
                <w:rFonts w:ascii="Arial" w:hAnsi="Arial" w:cs="Arial"/>
                <w:sz w:val="20"/>
                <w:szCs w:val="20"/>
              </w:rPr>
            </w:pPr>
          </w:p>
          <w:p w14:paraId="44EAFD9C" w14:textId="77777777" w:rsidR="001D7F79" w:rsidRPr="00564D7A" w:rsidRDefault="001D7F79" w:rsidP="00564D7A">
            <w:pPr>
              <w:rPr>
                <w:rFonts w:ascii="Arial" w:hAnsi="Arial" w:cs="Arial"/>
                <w:sz w:val="20"/>
                <w:szCs w:val="20"/>
              </w:rPr>
            </w:pPr>
          </w:p>
        </w:tc>
      </w:tr>
      <w:tr w:rsidR="00F77EB7" w14:paraId="11E28A38" w14:textId="77777777" w:rsidTr="5BFDD365">
        <w:trPr>
          <w:trHeight w:val="871"/>
        </w:trPr>
        <w:tc>
          <w:tcPr>
            <w:tcW w:w="1560" w:type="dxa"/>
          </w:tcPr>
          <w:p w14:paraId="5C6A4794" w14:textId="77777777" w:rsidR="00F77EB7" w:rsidRDefault="00F77EB7" w:rsidP="00564D7A">
            <w:pPr>
              <w:rPr>
                <w:u w:val="single"/>
              </w:rPr>
            </w:pPr>
            <w:r w:rsidRPr="003A369F">
              <w:rPr>
                <w:u w:val="single"/>
              </w:rPr>
              <w:t>Líneas de investigación</w:t>
            </w:r>
          </w:p>
          <w:p w14:paraId="4B94D5A5" w14:textId="77777777" w:rsidR="00F77EB7" w:rsidRDefault="00F77EB7" w:rsidP="00564D7A">
            <w:pPr>
              <w:rPr>
                <w:u w:val="single"/>
              </w:rPr>
            </w:pPr>
          </w:p>
          <w:p w14:paraId="3DEEC669" w14:textId="77777777" w:rsidR="00F77EB7" w:rsidRDefault="00F77EB7" w:rsidP="00564D7A">
            <w:pPr>
              <w:rPr>
                <w:u w:val="single"/>
              </w:rPr>
            </w:pPr>
          </w:p>
          <w:p w14:paraId="3656B9AB" w14:textId="77777777" w:rsidR="00F77EB7" w:rsidRDefault="00F77EB7" w:rsidP="00564D7A">
            <w:pPr>
              <w:rPr>
                <w:u w:val="single"/>
              </w:rPr>
            </w:pPr>
          </w:p>
          <w:p w14:paraId="45FB0818" w14:textId="77777777" w:rsidR="00F77EB7" w:rsidRDefault="00F77EB7" w:rsidP="00564D7A">
            <w:pPr>
              <w:rPr>
                <w:u w:val="single"/>
              </w:rPr>
            </w:pPr>
          </w:p>
          <w:p w14:paraId="049F31CB" w14:textId="77777777" w:rsidR="00F77EB7" w:rsidRDefault="00F77EB7" w:rsidP="00564D7A">
            <w:pPr>
              <w:rPr>
                <w:u w:val="single"/>
              </w:rPr>
            </w:pPr>
          </w:p>
          <w:p w14:paraId="53128261" w14:textId="77777777" w:rsidR="00F77EB7" w:rsidRDefault="00F77EB7" w:rsidP="00564D7A">
            <w:pPr>
              <w:rPr>
                <w:u w:val="single"/>
              </w:rPr>
            </w:pPr>
          </w:p>
          <w:p w14:paraId="62486C05" w14:textId="77777777" w:rsidR="00F77EB7" w:rsidRDefault="00F77EB7" w:rsidP="00564D7A">
            <w:pPr>
              <w:rPr>
                <w:u w:val="single"/>
              </w:rPr>
            </w:pPr>
          </w:p>
          <w:p w14:paraId="4101652C" w14:textId="77777777" w:rsidR="00F77EB7" w:rsidRPr="003A369F" w:rsidRDefault="00F77EB7" w:rsidP="00564D7A">
            <w:pPr>
              <w:rPr>
                <w:u w:val="single"/>
              </w:rPr>
            </w:pPr>
          </w:p>
        </w:tc>
        <w:tc>
          <w:tcPr>
            <w:tcW w:w="10059" w:type="dxa"/>
            <w:gridSpan w:val="2"/>
          </w:tcPr>
          <w:p w14:paraId="1D27DD04" w14:textId="77777777" w:rsidR="001D7F79" w:rsidRPr="00564D7A" w:rsidRDefault="001D7F79" w:rsidP="00564D7A">
            <w:pPr>
              <w:rPr>
                <w:rFonts w:ascii="Arial" w:hAnsi="Arial" w:cs="Arial"/>
                <w:sz w:val="20"/>
                <w:szCs w:val="20"/>
              </w:rPr>
            </w:pPr>
            <w:r w:rsidRPr="00564D7A">
              <w:rPr>
                <w:rFonts w:ascii="Arial" w:hAnsi="Arial" w:cs="Arial"/>
                <w:sz w:val="20"/>
                <w:szCs w:val="20"/>
              </w:rPr>
              <w:t>1.</w:t>
            </w:r>
            <w:r w:rsidR="00045E2F" w:rsidRPr="00564D7A">
              <w:rPr>
                <w:rFonts w:ascii="Arial" w:hAnsi="Arial" w:cs="Arial"/>
                <w:sz w:val="20"/>
                <w:szCs w:val="20"/>
              </w:rPr>
              <w:t xml:space="preserve"> Derecho Penal Tributario. Delito fiscal.</w:t>
            </w:r>
          </w:p>
          <w:p w14:paraId="3BF6F178" w14:textId="3D056305" w:rsidR="00045E2F" w:rsidRPr="00564D7A" w:rsidRDefault="001D7F79" w:rsidP="00564D7A">
            <w:pPr>
              <w:rPr>
                <w:rFonts w:ascii="Arial" w:hAnsi="Arial" w:cs="Arial"/>
                <w:sz w:val="20"/>
                <w:szCs w:val="20"/>
              </w:rPr>
            </w:pPr>
            <w:r w:rsidRPr="00564D7A">
              <w:rPr>
                <w:rFonts w:ascii="Arial" w:hAnsi="Arial" w:cs="Arial"/>
                <w:sz w:val="20"/>
                <w:szCs w:val="20"/>
              </w:rPr>
              <w:t>2.</w:t>
            </w:r>
            <w:r w:rsidR="00045E2F" w:rsidRPr="00564D7A">
              <w:rPr>
                <w:rFonts w:ascii="Arial" w:hAnsi="Arial" w:cs="Arial"/>
                <w:sz w:val="20"/>
                <w:szCs w:val="20"/>
              </w:rPr>
              <w:t xml:space="preserve"> Procedimientos</w:t>
            </w:r>
            <w:r w:rsidR="0063576A">
              <w:rPr>
                <w:rFonts w:ascii="Arial" w:hAnsi="Arial" w:cs="Arial"/>
                <w:sz w:val="20"/>
                <w:szCs w:val="20"/>
              </w:rPr>
              <w:t xml:space="preserve"> de control tributario.</w:t>
            </w:r>
          </w:p>
          <w:p w14:paraId="0B6A86EB" w14:textId="16003284" w:rsidR="001D7F79" w:rsidRPr="00564D7A" w:rsidRDefault="001D7F79" w:rsidP="00564D7A">
            <w:pPr>
              <w:rPr>
                <w:rFonts w:ascii="Arial" w:hAnsi="Arial" w:cs="Arial"/>
                <w:sz w:val="20"/>
                <w:szCs w:val="20"/>
              </w:rPr>
            </w:pPr>
            <w:r w:rsidRPr="00564D7A">
              <w:rPr>
                <w:rFonts w:ascii="Arial" w:hAnsi="Arial" w:cs="Arial"/>
                <w:sz w:val="20"/>
                <w:szCs w:val="20"/>
              </w:rPr>
              <w:t>3.</w:t>
            </w:r>
            <w:r w:rsidR="0063576A">
              <w:rPr>
                <w:rFonts w:ascii="Arial" w:hAnsi="Arial" w:cs="Arial"/>
                <w:sz w:val="20"/>
                <w:szCs w:val="20"/>
              </w:rPr>
              <w:t xml:space="preserve"> Procedimientos de revisión administrativa y judicial</w:t>
            </w:r>
            <w:r w:rsidR="00045E2F" w:rsidRPr="00564D7A">
              <w:rPr>
                <w:rFonts w:ascii="Arial" w:hAnsi="Arial" w:cs="Arial"/>
                <w:sz w:val="20"/>
                <w:szCs w:val="20"/>
              </w:rPr>
              <w:t>.</w:t>
            </w:r>
          </w:p>
          <w:p w14:paraId="16624F74" w14:textId="24CF6A54" w:rsidR="00AE27A6" w:rsidRPr="00564D7A" w:rsidRDefault="001D7F79" w:rsidP="00564D7A">
            <w:pPr>
              <w:rPr>
                <w:rFonts w:ascii="Arial" w:hAnsi="Arial" w:cs="Arial"/>
                <w:sz w:val="20"/>
                <w:szCs w:val="20"/>
              </w:rPr>
            </w:pPr>
            <w:r w:rsidRPr="00564D7A">
              <w:rPr>
                <w:rFonts w:ascii="Arial" w:hAnsi="Arial" w:cs="Arial"/>
                <w:sz w:val="20"/>
                <w:szCs w:val="20"/>
              </w:rPr>
              <w:t>4.</w:t>
            </w:r>
            <w:r w:rsidR="00564D7A" w:rsidRPr="00564D7A">
              <w:rPr>
                <w:rFonts w:ascii="Arial" w:hAnsi="Arial" w:cs="Arial"/>
                <w:sz w:val="20"/>
                <w:szCs w:val="20"/>
              </w:rPr>
              <w:t xml:space="preserve"> Jurisdicción constitucional</w:t>
            </w:r>
            <w:r w:rsidR="00AE27A6" w:rsidRPr="00564D7A">
              <w:rPr>
                <w:rFonts w:ascii="Arial" w:hAnsi="Arial" w:cs="Arial"/>
                <w:sz w:val="20"/>
                <w:szCs w:val="20"/>
              </w:rPr>
              <w:t>.</w:t>
            </w:r>
            <w:r w:rsidR="00564D7A" w:rsidRPr="00564D7A">
              <w:rPr>
                <w:rFonts w:ascii="Arial" w:hAnsi="Arial" w:cs="Arial"/>
                <w:sz w:val="20"/>
                <w:szCs w:val="20"/>
              </w:rPr>
              <w:t xml:space="preserve"> Recurso de amparo en materia tributaria.</w:t>
            </w:r>
          </w:p>
          <w:p w14:paraId="0C33D105" w14:textId="04FFA30D" w:rsidR="00045E2F" w:rsidRPr="00564D7A" w:rsidRDefault="00AE27A6" w:rsidP="00564D7A">
            <w:pPr>
              <w:rPr>
                <w:rFonts w:ascii="Arial" w:hAnsi="Arial" w:cs="Arial"/>
                <w:sz w:val="20"/>
                <w:szCs w:val="20"/>
              </w:rPr>
            </w:pPr>
            <w:r w:rsidRPr="00564D7A">
              <w:rPr>
                <w:rFonts w:ascii="Arial" w:hAnsi="Arial" w:cs="Arial"/>
                <w:sz w:val="20"/>
                <w:szCs w:val="20"/>
              </w:rPr>
              <w:t xml:space="preserve">5. </w:t>
            </w:r>
            <w:r w:rsidR="00045E2F" w:rsidRPr="00564D7A">
              <w:rPr>
                <w:rFonts w:ascii="Arial" w:hAnsi="Arial" w:cs="Arial"/>
                <w:sz w:val="20"/>
                <w:szCs w:val="20"/>
              </w:rPr>
              <w:t>Derecho Constitucional Tributario.</w:t>
            </w:r>
            <w:r w:rsidR="008C26EC">
              <w:rPr>
                <w:rFonts w:ascii="Arial" w:hAnsi="Arial" w:cs="Arial"/>
                <w:sz w:val="20"/>
                <w:szCs w:val="20"/>
              </w:rPr>
              <w:t xml:space="preserve"> </w:t>
            </w:r>
          </w:p>
          <w:p w14:paraId="6F43B575" w14:textId="77777777" w:rsidR="00AE27A6" w:rsidRPr="00564D7A" w:rsidRDefault="00AE27A6" w:rsidP="00564D7A">
            <w:pPr>
              <w:rPr>
                <w:rFonts w:ascii="Arial" w:hAnsi="Arial" w:cs="Arial"/>
                <w:sz w:val="20"/>
                <w:szCs w:val="20"/>
              </w:rPr>
            </w:pPr>
            <w:r w:rsidRPr="00564D7A">
              <w:rPr>
                <w:rFonts w:ascii="Arial" w:hAnsi="Arial" w:cs="Arial"/>
                <w:sz w:val="20"/>
                <w:szCs w:val="20"/>
              </w:rPr>
              <w:t>6</w:t>
            </w:r>
            <w:r w:rsidR="00045E2F" w:rsidRPr="00564D7A">
              <w:rPr>
                <w:rFonts w:ascii="Arial" w:hAnsi="Arial" w:cs="Arial"/>
                <w:sz w:val="20"/>
                <w:szCs w:val="20"/>
              </w:rPr>
              <w:t xml:space="preserve">. </w:t>
            </w:r>
            <w:r w:rsidRPr="00564D7A">
              <w:rPr>
                <w:rFonts w:ascii="Arial" w:hAnsi="Arial" w:cs="Arial"/>
                <w:sz w:val="20"/>
                <w:szCs w:val="20"/>
              </w:rPr>
              <w:t>Impuesto sobre el Valor Añadido.</w:t>
            </w:r>
          </w:p>
          <w:p w14:paraId="5C0EC33C" w14:textId="77777777" w:rsidR="001D7F79" w:rsidRPr="00564D7A" w:rsidRDefault="00AE27A6" w:rsidP="00564D7A">
            <w:pPr>
              <w:rPr>
                <w:rFonts w:ascii="Arial" w:hAnsi="Arial" w:cs="Arial"/>
                <w:sz w:val="20"/>
                <w:szCs w:val="20"/>
              </w:rPr>
            </w:pPr>
            <w:r w:rsidRPr="00564D7A">
              <w:rPr>
                <w:rFonts w:ascii="Arial" w:hAnsi="Arial" w:cs="Arial"/>
                <w:sz w:val="20"/>
                <w:szCs w:val="20"/>
              </w:rPr>
              <w:t xml:space="preserve">7. </w:t>
            </w:r>
            <w:r w:rsidR="00045E2F" w:rsidRPr="00564D7A">
              <w:rPr>
                <w:rFonts w:ascii="Arial" w:hAnsi="Arial" w:cs="Arial"/>
                <w:sz w:val="20"/>
                <w:szCs w:val="20"/>
              </w:rPr>
              <w:t>Haciendas Territoriales (Autonómica y Municipal).</w:t>
            </w:r>
          </w:p>
        </w:tc>
      </w:tr>
      <w:tr w:rsidR="006E5F82" w14:paraId="14B66F91" w14:textId="77777777" w:rsidTr="5BFDD365">
        <w:trPr>
          <w:trHeight w:val="2266"/>
        </w:trPr>
        <w:tc>
          <w:tcPr>
            <w:tcW w:w="1560" w:type="dxa"/>
          </w:tcPr>
          <w:p w14:paraId="45FF43DB" w14:textId="77777777" w:rsidR="006E5F82" w:rsidRDefault="006E5F82" w:rsidP="00564D7A">
            <w:pPr>
              <w:rPr>
                <w:u w:val="single"/>
              </w:rPr>
            </w:pPr>
            <w:r w:rsidRPr="003A369F">
              <w:rPr>
                <w:u w:val="single"/>
              </w:rPr>
              <w:lastRenderedPageBreak/>
              <w:t>Proyectos</w:t>
            </w:r>
          </w:p>
          <w:p w14:paraId="4B99056E" w14:textId="77777777" w:rsidR="00F77EB7" w:rsidRDefault="00F77EB7" w:rsidP="00564D7A">
            <w:pPr>
              <w:rPr>
                <w:u w:val="single"/>
              </w:rPr>
            </w:pPr>
          </w:p>
          <w:p w14:paraId="1299C43A" w14:textId="77777777" w:rsidR="00F77EB7" w:rsidRDefault="00F77EB7" w:rsidP="00564D7A">
            <w:pPr>
              <w:rPr>
                <w:u w:val="single"/>
              </w:rPr>
            </w:pPr>
          </w:p>
          <w:p w14:paraId="4DDBEF00" w14:textId="77777777" w:rsidR="00F77EB7" w:rsidRDefault="00F77EB7" w:rsidP="00564D7A">
            <w:pPr>
              <w:rPr>
                <w:u w:val="single"/>
              </w:rPr>
            </w:pPr>
          </w:p>
          <w:p w14:paraId="3461D779" w14:textId="77777777" w:rsidR="00F77EB7" w:rsidRDefault="00F77EB7" w:rsidP="00564D7A">
            <w:pPr>
              <w:rPr>
                <w:u w:val="single"/>
              </w:rPr>
            </w:pPr>
          </w:p>
          <w:p w14:paraId="3CF2D8B6" w14:textId="77777777" w:rsidR="00F77EB7" w:rsidRDefault="00F77EB7" w:rsidP="00564D7A">
            <w:pPr>
              <w:rPr>
                <w:u w:val="single"/>
              </w:rPr>
            </w:pPr>
          </w:p>
          <w:p w14:paraId="0FB78278" w14:textId="77777777" w:rsidR="00F77EB7" w:rsidRDefault="00F77EB7" w:rsidP="00564D7A">
            <w:pPr>
              <w:rPr>
                <w:u w:val="single"/>
              </w:rPr>
            </w:pPr>
          </w:p>
          <w:p w14:paraId="1FC39945" w14:textId="77777777" w:rsidR="00F77EB7" w:rsidRDefault="00F77EB7" w:rsidP="00564D7A">
            <w:pPr>
              <w:rPr>
                <w:u w:val="single"/>
              </w:rPr>
            </w:pPr>
          </w:p>
          <w:p w14:paraId="0562CB0E" w14:textId="77777777" w:rsidR="006E5F82" w:rsidRPr="003A369F" w:rsidRDefault="006E5F82" w:rsidP="00564D7A">
            <w:pPr>
              <w:rPr>
                <w:u w:val="single"/>
              </w:rPr>
            </w:pPr>
          </w:p>
        </w:tc>
        <w:tc>
          <w:tcPr>
            <w:tcW w:w="10059" w:type="dxa"/>
            <w:gridSpan w:val="2"/>
          </w:tcPr>
          <w:p w14:paraId="4E1F6D08" w14:textId="0B05E946" w:rsidR="5BFDD365" w:rsidRDefault="5BFDD365" w:rsidP="5BFDD365">
            <w:pPr>
              <w:spacing w:line="259" w:lineRule="auto"/>
              <w:rPr>
                <w:rFonts w:ascii="Arial" w:eastAsia="Calibri" w:hAnsi="Arial" w:cs="Arial"/>
                <w:sz w:val="20"/>
                <w:szCs w:val="20"/>
              </w:rPr>
            </w:pPr>
            <w:r w:rsidRPr="5BFDD365">
              <w:rPr>
                <w:rFonts w:ascii="Arial" w:hAnsi="Arial" w:cs="Arial"/>
                <w:sz w:val="20"/>
                <w:szCs w:val="20"/>
              </w:rPr>
              <w:t>1. “Liberalización de los servicios públicos de suministro y fiscalidad autonómica y local: El suministro de agua potable, electricidad, gas y telecomunicaciones”; Ministerio de Ciencia y Tecnología, 2003- 2006.</w:t>
            </w:r>
          </w:p>
          <w:p w14:paraId="2DB91CFF" w14:textId="0ECB6206" w:rsidR="5BFDD365" w:rsidRDefault="5BFDD365" w:rsidP="5BFDD365">
            <w:pPr>
              <w:rPr>
                <w:rFonts w:ascii="Arial" w:hAnsi="Arial" w:cs="Arial"/>
                <w:sz w:val="20"/>
                <w:szCs w:val="20"/>
              </w:rPr>
            </w:pPr>
          </w:p>
          <w:p w14:paraId="2F76392F" w14:textId="5CBF5993" w:rsidR="5BFDD365" w:rsidRDefault="5BFDD365" w:rsidP="5BFDD365">
            <w:pPr>
              <w:rPr>
                <w:rFonts w:ascii="Arial" w:hAnsi="Arial" w:cs="Arial"/>
                <w:sz w:val="20"/>
                <w:szCs w:val="20"/>
              </w:rPr>
            </w:pPr>
            <w:r w:rsidRPr="5BFDD365">
              <w:rPr>
                <w:rFonts w:ascii="Arial" w:eastAsia="Calibri" w:hAnsi="Arial" w:cs="Arial"/>
                <w:sz w:val="20"/>
                <w:szCs w:val="20"/>
              </w:rPr>
              <w:t>2. “Anuario de Jurisprudencia Constitucional Tributaria (1999)”; Instituto de Estudios Fiscales (Ministerio de Hacienda); Comisión de Jurisprudencia Constitucional (IEF), 1999-2000.</w:t>
            </w:r>
          </w:p>
          <w:p w14:paraId="4541D3EA" w14:textId="407BFAE9" w:rsidR="5BFDD365" w:rsidRDefault="5BFDD365" w:rsidP="5BFDD365">
            <w:pPr>
              <w:rPr>
                <w:rFonts w:ascii="Arial" w:eastAsia="Calibri" w:hAnsi="Arial" w:cs="Arial"/>
                <w:sz w:val="20"/>
                <w:szCs w:val="20"/>
              </w:rPr>
            </w:pPr>
          </w:p>
          <w:p w14:paraId="251337C2" w14:textId="14A9BA6D" w:rsidR="5BFDD365" w:rsidRDefault="5BFDD365" w:rsidP="5BFDD365">
            <w:pPr>
              <w:rPr>
                <w:rFonts w:ascii="Arial" w:eastAsia="Calibri" w:hAnsi="Arial" w:cs="Arial"/>
                <w:sz w:val="20"/>
                <w:szCs w:val="20"/>
              </w:rPr>
            </w:pPr>
            <w:r w:rsidRPr="5BFDD365">
              <w:rPr>
                <w:rFonts w:ascii="Arial" w:hAnsi="Arial" w:cs="Arial"/>
                <w:sz w:val="20"/>
                <w:szCs w:val="20"/>
              </w:rPr>
              <w:t>3.“Anuario de Jurisprudencia Constitucional Tributaria (1998)”; Instituto de Estudios Fiscales (Ministerio de Hacienda), 1998-1999.</w:t>
            </w:r>
          </w:p>
          <w:p w14:paraId="054312A0" w14:textId="38A2F851" w:rsidR="5BFDD365" w:rsidRDefault="5BFDD365" w:rsidP="5BFDD365">
            <w:pPr>
              <w:rPr>
                <w:rFonts w:ascii="Arial" w:eastAsia="Calibri" w:hAnsi="Arial" w:cs="Arial"/>
                <w:sz w:val="20"/>
                <w:szCs w:val="20"/>
              </w:rPr>
            </w:pPr>
          </w:p>
          <w:p w14:paraId="6A60579A" w14:textId="6BE7948B" w:rsidR="5BFDD365" w:rsidRDefault="5BFDD365" w:rsidP="5BFDD365">
            <w:pPr>
              <w:rPr>
                <w:rFonts w:ascii="Arial" w:eastAsia="Calibri" w:hAnsi="Arial" w:cs="Arial"/>
                <w:sz w:val="20"/>
                <w:szCs w:val="20"/>
              </w:rPr>
            </w:pPr>
            <w:r w:rsidRPr="5BFDD365">
              <w:rPr>
                <w:rFonts w:ascii="Arial" w:eastAsia="Calibri" w:hAnsi="Arial" w:cs="Arial"/>
                <w:sz w:val="20"/>
                <w:szCs w:val="20"/>
              </w:rPr>
              <w:t>4.</w:t>
            </w:r>
            <w:r w:rsidRPr="5BFDD365">
              <w:rPr>
                <w:rFonts w:ascii="Arial" w:hAnsi="Arial" w:cs="Arial"/>
                <w:sz w:val="20"/>
                <w:szCs w:val="20"/>
              </w:rPr>
              <w:t xml:space="preserve"> “El deber de contribuir y los principios de justicia tributaria”; DGICYT, 1996-1999.</w:t>
            </w:r>
          </w:p>
          <w:p w14:paraId="6AA2C260" w14:textId="6374E9C0" w:rsidR="5BFDD365" w:rsidRDefault="5BFDD365" w:rsidP="5BFDD365">
            <w:pPr>
              <w:rPr>
                <w:rFonts w:ascii="Arial" w:eastAsia="Calibri" w:hAnsi="Arial" w:cs="Arial"/>
                <w:sz w:val="20"/>
                <w:szCs w:val="20"/>
              </w:rPr>
            </w:pPr>
            <w:r w:rsidRPr="5BFDD365">
              <w:rPr>
                <w:rFonts w:ascii="Arial" w:eastAsia="Calibri" w:hAnsi="Arial" w:cs="Arial"/>
                <w:sz w:val="20"/>
                <w:szCs w:val="20"/>
              </w:rPr>
              <w:t xml:space="preserve"> </w:t>
            </w:r>
          </w:p>
          <w:p w14:paraId="26548185" w14:textId="48523FEA" w:rsidR="5BFDD365" w:rsidRDefault="5BFDD365" w:rsidP="5BFDD365">
            <w:pPr>
              <w:rPr>
                <w:rFonts w:ascii="Arial" w:eastAsia="Arial Narrow" w:hAnsi="Arial" w:cs="Arial"/>
                <w:sz w:val="20"/>
                <w:szCs w:val="20"/>
              </w:rPr>
            </w:pPr>
            <w:r w:rsidRPr="5BFDD365">
              <w:rPr>
                <w:rFonts w:ascii="Arial" w:eastAsia="Calibri" w:hAnsi="Arial" w:cs="Arial"/>
                <w:sz w:val="20"/>
                <w:szCs w:val="20"/>
              </w:rPr>
              <w:t>5.</w:t>
            </w:r>
            <w:r w:rsidRPr="5BFDD365">
              <w:rPr>
                <w:rFonts w:ascii="Arial" w:hAnsi="Arial" w:cs="Arial"/>
                <w:sz w:val="20"/>
                <w:szCs w:val="20"/>
              </w:rPr>
              <w:t xml:space="preserve"> “</w:t>
            </w:r>
            <w:r w:rsidRPr="5BFDD365">
              <w:rPr>
                <w:rFonts w:ascii="Arial" w:eastAsia="Arial Narrow" w:hAnsi="Arial" w:cs="Arial"/>
                <w:sz w:val="20"/>
                <w:szCs w:val="20"/>
              </w:rPr>
              <w:t>La articulación jurídica de los tributos compartidos como tributos parcialmente cedidos por el Estado a las Comunidades Autónomas”; Instituto de Estudios Fiscales,1996.</w:t>
            </w:r>
          </w:p>
          <w:p w14:paraId="13940B9B" w14:textId="360D0C8B" w:rsidR="5BFDD365" w:rsidRDefault="5BFDD365" w:rsidP="5BFDD365">
            <w:pPr>
              <w:rPr>
                <w:rFonts w:ascii="Arial" w:eastAsia="Calibri" w:hAnsi="Arial" w:cs="Arial"/>
                <w:sz w:val="20"/>
                <w:szCs w:val="20"/>
              </w:rPr>
            </w:pPr>
            <w:r w:rsidRPr="5BFDD365">
              <w:rPr>
                <w:rFonts w:ascii="Arial" w:eastAsia="Calibri" w:hAnsi="Arial" w:cs="Arial"/>
                <w:sz w:val="20"/>
                <w:szCs w:val="20"/>
              </w:rPr>
              <w:t xml:space="preserve"> </w:t>
            </w:r>
          </w:p>
          <w:p w14:paraId="3997D145" w14:textId="2BD988DD" w:rsidR="5BFDD365" w:rsidRDefault="5BFDD365" w:rsidP="5BFDD365">
            <w:pPr>
              <w:rPr>
                <w:rFonts w:ascii="Arial" w:eastAsia="Calibri" w:hAnsi="Arial" w:cs="Arial"/>
                <w:sz w:val="20"/>
                <w:szCs w:val="20"/>
              </w:rPr>
            </w:pPr>
            <w:r w:rsidRPr="5BFDD365">
              <w:rPr>
                <w:rFonts w:ascii="Arial" w:eastAsia="Calibri" w:hAnsi="Arial" w:cs="Arial"/>
                <w:sz w:val="20"/>
                <w:szCs w:val="20"/>
              </w:rPr>
              <w:t xml:space="preserve">6. “1992: </w:t>
            </w:r>
            <w:proofErr w:type="spellStart"/>
            <w:r w:rsidRPr="5BFDD365">
              <w:rPr>
                <w:rFonts w:ascii="Arial" w:eastAsia="Calibri" w:hAnsi="Arial" w:cs="Arial"/>
                <w:sz w:val="20"/>
                <w:szCs w:val="20"/>
              </w:rPr>
              <w:t>L´Italia</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nella</w:t>
            </w:r>
            <w:proofErr w:type="spellEnd"/>
            <w:r w:rsidRPr="5BFDD365">
              <w:rPr>
                <w:rFonts w:ascii="Arial" w:eastAsia="Calibri" w:hAnsi="Arial" w:cs="Arial"/>
                <w:sz w:val="20"/>
                <w:szCs w:val="20"/>
              </w:rPr>
              <w:t xml:space="preserve"> CEE”. </w:t>
            </w:r>
            <w:proofErr w:type="spellStart"/>
            <w:r w:rsidRPr="5BFDD365">
              <w:rPr>
                <w:rFonts w:ascii="Arial" w:eastAsia="Calibri" w:hAnsi="Arial" w:cs="Arial"/>
                <w:sz w:val="20"/>
                <w:szCs w:val="20"/>
              </w:rPr>
              <w:t>Convenienze</w:t>
            </w:r>
            <w:proofErr w:type="spellEnd"/>
            <w:r w:rsidRPr="5BFDD365">
              <w:rPr>
                <w:rFonts w:ascii="Arial" w:eastAsia="Calibri" w:hAnsi="Arial" w:cs="Arial"/>
                <w:sz w:val="20"/>
                <w:szCs w:val="20"/>
              </w:rPr>
              <w:t xml:space="preserve"> e </w:t>
            </w:r>
            <w:proofErr w:type="spellStart"/>
            <w:r w:rsidRPr="5BFDD365">
              <w:rPr>
                <w:rFonts w:ascii="Arial" w:eastAsia="Calibri" w:hAnsi="Arial" w:cs="Arial"/>
                <w:sz w:val="20"/>
                <w:szCs w:val="20"/>
              </w:rPr>
              <w:t>pericoli</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della</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piena</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integrazione</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fiscale</w:t>
            </w:r>
            <w:proofErr w:type="spellEnd"/>
            <w:r w:rsidRPr="5BFDD365">
              <w:rPr>
                <w:rFonts w:ascii="Arial" w:eastAsia="Calibri" w:hAnsi="Arial" w:cs="Arial"/>
                <w:sz w:val="20"/>
                <w:szCs w:val="20"/>
              </w:rPr>
              <w:t xml:space="preserve">. El régimen del IVA en España; PROMETEIA, </w:t>
            </w:r>
            <w:proofErr w:type="spellStart"/>
            <w:r w:rsidRPr="5BFDD365">
              <w:rPr>
                <w:rFonts w:ascii="Arial" w:eastAsia="Calibri" w:hAnsi="Arial" w:cs="Arial"/>
                <w:sz w:val="20"/>
                <w:szCs w:val="20"/>
              </w:rPr>
              <w:t>Assoziazione</w:t>
            </w:r>
            <w:proofErr w:type="spellEnd"/>
            <w:r w:rsidRPr="5BFDD365">
              <w:rPr>
                <w:rFonts w:ascii="Arial" w:eastAsia="Calibri" w:hAnsi="Arial" w:cs="Arial"/>
                <w:sz w:val="20"/>
                <w:szCs w:val="20"/>
              </w:rPr>
              <w:t xml:space="preserve"> per le </w:t>
            </w:r>
            <w:proofErr w:type="spellStart"/>
            <w:r w:rsidRPr="5BFDD365">
              <w:rPr>
                <w:rFonts w:ascii="Arial" w:eastAsia="Calibri" w:hAnsi="Arial" w:cs="Arial"/>
                <w:sz w:val="20"/>
                <w:szCs w:val="20"/>
              </w:rPr>
              <w:t>Previsioni</w:t>
            </w:r>
            <w:proofErr w:type="spellEnd"/>
            <w:r w:rsidRPr="5BFDD365">
              <w:rPr>
                <w:rFonts w:ascii="Arial" w:eastAsia="Calibri" w:hAnsi="Arial" w:cs="Arial"/>
                <w:sz w:val="20"/>
                <w:szCs w:val="20"/>
              </w:rPr>
              <w:t xml:space="preserve"> </w:t>
            </w:r>
            <w:proofErr w:type="spellStart"/>
            <w:r w:rsidRPr="5BFDD365">
              <w:rPr>
                <w:rFonts w:ascii="Arial" w:eastAsia="Calibri" w:hAnsi="Arial" w:cs="Arial"/>
                <w:sz w:val="20"/>
                <w:szCs w:val="20"/>
              </w:rPr>
              <w:t>Econometriche</w:t>
            </w:r>
            <w:proofErr w:type="spellEnd"/>
            <w:r w:rsidRPr="5BFDD365">
              <w:rPr>
                <w:rFonts w:ascii="Arial" w:eastAsia="Calibri" w:hAnsi="Arial" w:cs="Arial"/>
                <w:sz w:val="20"/>
                <w:szCs w:val="20"/>
              </w:rPr>
              <w:t>, 1989.</w:t>
            </w:r>
          </w:p>
          <w:p w14:paraId="73E05550" w14:textId="77777777" w:rsidR="5BFDD365" w:rsidRDefault="5BFDD365" w:rsidP="5BFDD365">
            <w:pPr>
              <w:rPr>
                <w:rFonts w:ascii="Arial" w:eastAsia="Calibri" w:hAnsi="Arial" w:cs="Arial"/>
                <w:sz w:val="20"/>
                <w:szCs w:val="20"/>
              </w:rPr>
            </w:pPr>
          </w:p>
          <w:p w14:paraId="3E82177A" w14:textId="466ACE63" w:rsidR="5BFDD365" w:rsidRDefault="5BFDD365" w:rsidP="5BFDD365">
            <w:pPr>
              <w:rPr>
                <w:rFonts w:ascii="Arial" w:eastAsia="Calibri" w:hAnsi="Arial" w:cs="Arial"/>
                <w:sz w:val="20"/>
                <w:szCs w:val="20"/>
              </w:rPr>
            </w:pPr>
            <w:r w:rsidRPr="5BFDD365">
              <w:rPr>
                <w:rFonts w:ascii="Arial" w:eastAsia="Calibri" w:hAnsi="Arial" w:cs="Arial"/>
                <w:sz w:val="20"/>
                <w:szCs w:val="20"/>
              </w:rPr>
              <w:t>7. “Fiscalidad Internacional y Fiscalidad Comunitaria”; Dirección General de Universidades, 1989.</w:t>
            </w:r>
          </w:p>
          <w:p w14:paraId="4F880DCD" w14:textId="3B38F5E8" w:rsidR="5BFDD365" w:rsidRDefault="5BFDD365" w:rsidP="5BFDD365">
            <w:pPr>
              <w:rPr>
                <w:rFonts w:ascii="Arial" w:hAnsi="Arial" w:cs="Arial"/>
                <w:sz w:val="20"/>
                <w:szCs w:val="20"/>
              </w:rPr>
            </w:pPr>
          </w:p>
          <w:p w14:paraId="4FCECDD5" w14:textId="5A4FD335" w:rsidR="5BFDD365" w:rsidRDefault="5BFDD365" w:rsidP="5BFDD365">
            <w:pPr>
              <w:rPr>
                <w:rFonts w:ascii="Arial" w:eastAsia="Arial Narrow" w:hAnsi="Arial" w:cs="Arial"/>
                <w:sz w:val="20"/>
                <w:szCs w:val="20"/>
              </w:rPr>
            </w:pPr>
            <w:r w:rsidRPr="5BFDD365">
              <w:rPr>
                <w:rFonts w:ascii="Arial" w:hAnsi="Arial" w:cs="Arial"/>
                <w:sz w:val="20"/>
                <w:szCs w:val="20"/>
              </w:rPr>
              <w:t>8.</w:t>
            </w:r>
            <w:r w:rsidRPr="5BFDD365">
              <w:rPr>
                <w:rFonts w:ascii="Arial" w:eastAsia="Calibri" w:hAnsi="Arial" w:cs="Arial"/>
                <w:sz w:val="20"/>
                <w:szCs w:val="20"/>
              </w:rPr>
              <w:t xml:space="preserve"> “La armonización de la fiscalidad indirecta sobre el consumo en la CEE y su repercusión en el sistema tributario español: IVA, Impuestos especiales y monopolios fiscales”; Fundación Fondo para la Investigación Económica y Social, 1987.</w:t>
            </w:r>
            <w:r w:rsidRPr="5BFDD365">
              <w:rPr>
                <w:rFonts w:ascii="Arial" w:hAnsi="Arial" w:cs="Arial"/>
                <w:sz w:val="20"/>
                <w:szCs w:val="20"/>
              </w:rPr>
              <w:t xml:space="preserve"> </w:t>
            </w:r>
          </w:p>
          <w:p w14:paraId="46387884" w14:textId="66C54CD8" w:rsidR="6C61D268" w:rsidRDefault="6C61D268" w:rsidP="5BFDD365">
            <w:pPr>
              <w:jc w:val="both"/>
              <w:rPr>
                <w:rFonts w:ascii="Arial" w:hAnsi="Arial" w:cs="Arial"/>
                <w:sz w:val="20"/>
                <w:szCs w:val="20"/>
              </w:rPr>
            </w:pPr>
          </w:p>
          <w:p w14:paraId="01AC2CE3" w14:textId="77777777" w:rsidR="00564D7A" w:rsidRPr="00564D7A" w:rsidRDefault="00564D7A" w:rsidP="00564D7A">
            <w:pPr>
              <w:rPr>
                <w:rFonts w:ascii="Arial" w:hAnsi="Arial" w:cs="Arial"/>
                <w:sz w:val="20"/>
                <w:szCs w:val="20"/>
              </w:rPr>
            </w:pPr>
          </w:p>
          <w:p w14:paraId="4AF7A1E2" w14:textId="034FBF43" w:rsidR="5BFDD365" w:rsidRDefault="5BFDD365" w:rsidP="5BFDD365">
            <w:pPr>
              <w:rPr>
                <w:rFonts w:ascii="Arial" w:eastAsia="Calibri" w:hAnsi="Arial" w:cs="Arial"/>
                <w:sz w:val="20"/>
                <w:szCs w:val="20"/>
              </w:rPr>
            </w:pPr>
            <w:r w:rsidRPr="5BFDD365">
              <w:rPr>
                <w:rFonts w:ascii="Arial" w:hAnsi="Arial" w:cs="Arial"/>
                <w:sz w:val="20"/>
                <w:szCs w:val="20"/>
              </w:rPr>
              <w:t xml:space="preserve">9. “Efectos de la adhesión de España a la CEE: el acceso a los instrumentos financieros comunitarios”; Caja de Ahorros de Granada, 1985. </w:t>
            </w:r>
          </w:p>
          <w:p w14:paraId="2C796528" w14:textId="77777777" w:rsidR="00564D7A" w:rsidRPr="00564D7A" w:rsidRDefault="00564D7A" w:rsidP="00564D7A">
            <w:pPr>
              <w:rPr>
                <w:rFonts w:ascii="Arial" w:hAnsi="Arial" w:cs="Arial"/>
                <w:sz w:val="20"/>
                <w:szCs w:val="20"/>
              </w:rPr>
            </w:pPr>
          </w:p>
          <w:p w14:paraId="7F1461D7" w14:textId="40948B4B" w:rsidR="5BFDD365" w:rsidRDefault="5BFDD365" w:rsidP="5BFDD365">
            <w:pPr>
              <w:rPr>
                <w:rFonts w:ascii="Arial" w:eastAsia="Calibri" w:hAnsi="Arial" w:cs="Arial"/>
                <w:sz w:val="20"/>
                <w:szCs w:val="20"/>
              </w:rPr>
            </w:pPr>
            <w:r w:rsidRPr="5BFDD365">
              <w:rPr>
                <w:rFonts w:ascii="Arial" w:hAnsi="Arial" w:cs="Arial"/>
                <w:sz w:val="20"/>
                <w:szCs w:val="20"/>
              </w:rPr>
              <w:t>10.</w:t>
            </w:r>
            <w:r w:rsidRPr="5BFDD365">
              <w:rPr>
                <w:rFonts w:ascii="Arial" w:eastAsia="Calibri" w:hAnsi="Arial" w:cs="Arial"/>
                <w:sz w:val="20"/>
                <w:szCs w:val="20"/>
              </w:rPr>
              <w:t xml:space="preserve"> “El proceso de armonización fiscal en la Comunidad Económica Europea”; Fundación Juan March , 1985.</w:t>
            </w:r>
          </w:p>
          <w:p w14:paraId="2C6333B9" w14:textId="5C0D1DBB" w:rsidR="00564D7A" w:rsidRPr="00564D7A" w:rsidRDefault="00564D7A" w:rsidP="5BFDD365">
            <w:pPr>
              <w:rPr>
                <w:rFonts w:ascii="Arial" w:hAnsi="Arial" w:cs="Arial"/>
                <w:sz w:val="20"/>
                <w:szCs w:val="20"/>
              </w:rPr>
            </w:pPr>
          </w:p>
          <w:p w14:paraId="3F933E9B" w14:textId="15924EEC" w:rsidR="5BFDD365" w:rsidRDefault="5BFDD365" w:rsidP="5BFDD365">
            <w:pPr>
              <w:rPr>
                <w:rFonts w:ascii="Arial" w:eastAsia="Calibri" w:hAnsi="Arial" w:cs="Arial"/>
                <w:sz w:val="20"/>
                <w:szCs w:val="20"/>
              </w:rPr>
            </w:pPr>
            <w:r w:rsidRPr="5BFDD365">
              <w:rPr>
                <w:rFonts w:ascii="Arial" w:eastAsia="Calibri" w:hAnsi="Arial" w:cs="Arial"/>
                <w:sz w:val="20"/>
                <w:szCs w:val="20"/>
              </w:rPr>
              <w:t>11.</w:t>
            </w:r>
            <w:r w:rsidRPr="5BFDD365">
              <w:rPr>
                <w:rFonts w:ascii="Arial" w:eastAsia="Arial" w:hAnsi="Arial" w:cs="Arial"/>
                <w:sz w:val="20"/>
                <w:szCs w:val="20"/>
              </w:rPr>
              <w:t xml:space="preserve"> El sector inmobiliario en el sistema del Impuesto sobre el Valor Añadido; Subsecretaría del Ministerio de Hacienda, 1982.</w:t>
            </w:r>
          </w:p>
          <w:p w14:paraId="78B207BF" w14:textId="59D68B97" w:rsidR="5BFDD365" w:rsidRDefault="5BFDD365" w:rsidP="5BFDD365">
            <w:pPr>
              <w:spacing w:line="259" w:lineRule="auto"/>
              <w:rPr>
                <w:rFonts w:ascii="Arial" w:eastAsia="Calibri" w:hAnsi="Arial" w:cs="Arial"/>
                <w:sz w:val="20"/>
                <w:szCs w:val="20"/>
              </w:rPr>
            </w:pPr>
          </w:p>
          <w:p w14:paraId="540FE43D" w14:textId="5D176E52" w:rsidR="001D7F79" w:rsidRPr="00564D7A" w:rsidRDefault="6C61D268" w:rsidP="00564D7A">
            <w:pPr>
              <w:rPr>
                <w:rFonts w:ascii="Arial" w:eastAsia="Calibri" w:hAnsi="Arial" w:cs="Arial"/>
                <w:sz w:val="20"/>
                <w:szCs w:val="20"/>
              </w:rPr>
            </w:pPr>
            <w:r w:rsidRPr="00564D7A">
              <w:rPr>
                <w:rFonts w:ascii="Arial" w:eastAsia="Calibri" w:hAnsi="Arial" w:cs="Arial"/>
                <w:sz w:val="20"/>
                <w:szCs w:val="20"/>
              </w:rPr>
              <w:t xml:space="preserve"> </w:t>
            </w:r>
          </w:p>
          <w:p w14:paraId="62EBF3C5" w14:textId="77777777" w:rsidR="001D7F79" w:rsidRPr="00564D7A" w:rsidRDefault="001D7F79" w:rsidP="00564D7A">
            <w:pPr>
              <w:rPr>
                <w:rFonts w:ascii="Arial" w:hAnsi="Arial" w:cs="Arial"/>
                <w:sz w:val="20"/>
                <w:szCs w:val="20"/>
              </w:rPr>
            </w:pPr>
          </w:p>
        </w:tc>
      </w:tr>
      <w:tr w:rsidR="006E5F82" w14:paraId="6F0272E4" w14:textId="77777777" w:rsidTr="5BFDD365">
        <w:tc>
          <w:tcPr>
            <w:tcW w:w="1560" w:type="dxa"/>
          </w:tcPr>
          <w:p w14:paraId="4B47CCD3" w14:textId="4542BDD5" w:rsidR="006E5F82" w:rsidRDefault="006E5F82" w:rsidP="00564D7A">
            <w:pPr>
              <w:rPr>
                <w:u w:val="single"/>
              </w:rPr>
            </w:pPr>
            <w:r w:rsidRPr="003A369F">
              <w:rPr>
                <w:u w:val="single"/>
              </w:rPr>
              <w:t>Publicaciones</w:t>
            </w:r>
          </w:p>
          <w:p w14:paraId="6D98A12B" w14:textId="77777777" w:rsidR="00F77EB7" w:rsidRDefault="00F77EB7" w:rsidP="00564D7A">
            <w:pPr>
              <w:rPr>
                <w:u w:val="single"/>
              </w:rPr>
            </w:pPr>
          </w:p>
          <w:p w14:paraId="2946DB82" w14:textId="77777777" w:rsidR="00F77EB7" w:rsidRDefault="00F77EB7" w:rsidP="00564D7A">
            <w:pPr>
              <w:rPr>
                <w:u w:val="single"/>
              </w:rPr>
            </w:pPr>
          </w:p>
          <w:p w14:paraId="5997CC1D" w14:textId="77777777" w:rsidR="00F77EB7" w:rsidRDefault="00F77EB7" w:rsidP="00564D7A">
            <w:pPr>
              <w:rPr>
                <w:u w:val="single"/>
              </w:rPr>
            </w:pPr>
          </w:p>
          <w:p w14:paraId="110FFD37" w14:textId="77777777" w:rsidR="00F77EB7" w:rsidRDefault="00F77EB7" w:rsidP="00564D7A">
            <w:pPr>
              <w:rPr>
                <w:u w:val="single"/>
              </w:rPr>
            </w:pPr>
          </w:p>
          <w:p w14:paraId="6B699379" w14:textId="77777777" w:rsidR="00F77EB7" w:rsidRDefault="00F77EB7" w:rsidP="00564D7A">
            <w:pPr>
              <w:rPr>
                <w:u w:val="single"/>
              </w:rPr>
            </w:pPr>
          </w:p>
          <w:p w14:paraId="3FE9F23F" w14:textId="77777777" w:rsidR="006E5F82" w:rsidRDefault="006E5F82" w:rsidP="00564D7A">
            <w:pPr>
              <w:rPr>
                <w:u w:val="single"/>
              </w:rPr>
            </w:pPr>
          </w:p>
          <w:p w14:paraId="1F72F646" w14:textId="77777777" w:rsidR="006E5F82" w:rsidRDefault="006E5F82" w:rsidP="00564D7A">
            <w:pPr>
              <w:rPr>
                <w:u w:val="single"/>
              </w:rPr>
            </w:pPr>
          </w:p>
          <w:p w14:paraId="08CE6F91" w14:textId="77777777" w:rsidR="006E5F82" w:rsidRPr="003A369F" w:rsidRDefault="006E5F82" w:rsidP="00564D7A">
            <w:pPr>
              <w:rPr>
                <w:u w:val="single"/>
              </w:rPr>
            </w:pPr>
          </w:p>
        </w:tc>
        <w:tc>
          <w:tcPr>
            <w:tcW w:w="10059" w:type="dxa"/>
            <w:gridSpan w:val="2"/>
          </w:tcPr>
          <w:p w14:paraId="2076E1BE" w14:textId="77777777" w:rsidR="00045E2F" w:rsidRPr="00564D7A" w:rsidRDefault="00045E2F" w:rsidP="00564D7A">
            <w:pPr>
              <w:rPr>
                <w:rFonts w:ascii="Arial" w:hAnsi="Arial" w:cs="Arial"/>
                <w:sz w:val="20"/>
                <w:szCs w:val="20"/>
              </w:rPr>
            </w:pPr>
            <w:r w:rsidRPr="00564D7A">
              <w:rPr>
                <w:rFonts w:ascii="Arial" w:hAnsi="Arial" w:cs="Arial"/>
                <w:sz w:val="20"/>
                <w:szCs w:val="20"/>
              </w:rPr>
              <w:t xml:space="preserve">Publicaciones recientes: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9781"/>
            </w:tblGrid>
            <w:tr w:rsidR="00045E2F" w:rsidRPr="00564D7A" w14:paraId="43F1E49B" w14:textId="77777777" w:rsidTr="00665BFF">
              <w:tc>
                <w:tcPr>
                  <w:tcW w:w="9781" w:type="dxa"/>
                  <w:tcBorders>
                    <w:top w:val="none" w:sz="1" w:space="0" w:color="000000"/>
                    <w:left w:val="none" w:sz="1" w:space="0" w:color="000000"/>
                    <w:bottom w:val="none" w:sz="1" w:space="0" w:color="000000"/>
                    <w:right w:val="none" w:sz="1" w:space="0" w:color="000000"/>
                  </w:tcBorders>
                  <w:shd w:val="clear" w:color="auto" w:fill="auto"/>
                </w:tcPr>
                <w:p w14:paraId="5FF84CDA" w14:textId="2392C3FC" w:rsidR="00045E2F" w:rsidRPr="00564D7A" w:rsidRDefault="00564D7A" w:rsidP="007D3B49">
                  <w:pPr>
                    <w:framePr w:hSpace="141" w:wrap="around" w:vAnchor="page" w:hAnchor="margin" w:xAlign="center" w:y="1156"/>
                    <w:widowControl w:val="0"/>
                    <w:suppressAutoHyphens/>
                    <w:spacing w:after="0" w:line="240" w:lineRule="auto"/>
                    <w:rPr>
                      <w:rFonts w:ascii="Arial" w:hAnsi="Arial" w:cs="Arial"/>
                      <w:sz w:val="20"/>
                      <w:szCs w:val="20"/>
                    </w:rPr>
                  </w:pPr>
                  <w:r>
                    <w:rPr>
                      <w:rFonts w:ascii="Arial" w:hAnsi="Arial" w:cs="Arial"/>
                      <w:sz w:val="20"/>
                      <w:szCs w:val="20"/>
                    </w:rPr>
                    <w:t>-</w:t>
                  </w:r>
                  <w:r w:rsidR="00045E2F" w:rsidRPr="00564D7A">
                    <w:rPr>
                      <w:rFonts w:ascii="Arial" w:hAnsi="Arial" w:cs="Arial"/>
                      <w:sz w:val="20"/>
                      <w:szCs w:val="20"/>
                    </w:rPr>
                    <w:t xml:space="preserve">Curso de Derecho Financiero y Tributario (en colaboración con J. Martín </w:t>
                  </w:r>
                  <w:proofErr w:type="spellStart"/>
                  <w:r w:rsidR="00045E2F" w:rsidRPr="00564D7A">
                    <w:rPr>
                      <w:rFonts w:ascii="Arial" w:hAnsi="Arial" w:cs="Arial"/>
                      <w:sz w:val="20"/>
                      <w:szCs w:val="20"/>
                    </w:rPr>
                    <w:t>Queralt</w:t>
                  </w:r>
                  <w:proofErr w:type="spellEnd"/>
                  <w:r w:rsidR="00045E2F" w:rsidRPr="00564D7A">
                    <w:rPr>
                      <w:rFonts w:ascii="Arial" w:hAnsi="Arial" w:cs="Arial"/>
                      <w:sz w:val="20"/>
                      <w:szCs w:val="20"/>
                    </w:rPr>
                    <w:t xml:space="preserve">; C. Lozano Serrano y J.M. </w:t>
                  </w:r>
                  <w:proofErr w:type="spellStart"/>
                  <w:r w:rsidR="00045E2F" w:rsidRPr="00564D7A">
                    <w:rPr>
                      <w:rFonts w:ascii="Arial" w:hAnsi="Arial" w:cs="Arial"/>
                      <w:sz w:val="20"/>
                      <w:szCs w:val="20"/>
                    </w:rPr>
                    <w:t>Tejerizo</w:t>
                  </w:r>
                  <w:proofErr w:type="spellEnd"/>
                  <w:r w:rsidR="00045E2F" w:rsidRPr="00564D7A">
                    <w:rPr>
                      <w:rFonts w:ascii="Arial" w:hAnsi="Arial" w:cs="Arial"/>
                      <w:sz w:val="20"/>
                      <w:szCs w:val="20"/>
                    </w:rPr>
                    <w:t xml:space="preserve"> López). Editorial </w:t>
                  </w:r>
                  <w:r w:rsidR="00045E2F" w:rsidRPr="00564D7A">
                    <w:rPr>
                      <w:rFonts w:ascii="Arial" w:hAnsi="Arial" w:cs="Arial"/>
                      <w:caps/>
                      <w:sz w:val="20"/>
                      <w:szCs w:val="20"/>
                    </w:rPr>
                    <w:t>Tecnos</w:t>
                  </w:r>
                  <w:r w:rsidR="00045E2F" w:rsidRPr="00564D7A">
                    <w:rPr>
                      <w:rFonts w:ascii="Arial" w:hAnsi="Arial" w:cs="Arial"/>
                      <w:sz w:val="20"/>
                      <w:szCs w:val="20"/>
                    </w:rPr>
                    <w:t xml:space="preserve">. Vigésimo Novena edición; Madrid, 2018. </w:t>
                  </w:r>
                </w:p>
              </w:tc>
            </w:tr>
            <w:tr w:rsidR="00045E2F" w:rsidRPr="00564D7A" w14:paraId="72D4CC71" w14:textId="77777777" w:rsidTr="00665BFF">
              <w:tc>
                <w:tcPr>
                  <w:tcW w:w="9781" w:type="dxa"/>
                  <w:tcBorders>
                    <w:left w:val="none" w:sz="1" w:space="0" w:color="000000"/>
                    <w:bottom w:val="none" w:sz="1" w:space="0" w:color="000000"/>
                    <w:right w:val="none" w:sz="1" w:space="0" w:color="000000"/>
                  </w:tcBorders>
                  <w:shd w:val="clear" w:color="auto" w:fill="auto"/>
                </w:tcPr>
                <w:p w14:paraId="4A679575" w14:textId="5E1EE331" w:rsidR="00045E2F" w:rsidRPr="00564D7A" w:rsidRDefault="008C26EC"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“Sobre la actividad de arbitraje de la Junta Arbitral”; Monográfico: La Junta Arbitral del Concierto Económico, ZERGAK, Gaceta Tributaria del País Vasco, nº 1-2015; páginas 55 a 69.</w:t>
                  </w:r>
                </w:p>
              </w:tc>
            </w:tr>
            <w:tr w:rsidR="00045E2F" w:rsidRPr="00564D7A" w14:paraId="75B9B0FD" w14:textId="77777777" w:rsidTr="00665BFF">
              <w:tc>
                <w:tcPr>
                  <w:tcW w:w="9781" w:type="dxa"/>
                  <w:tcBorders>
                    <w:left w:val="none" w:sz="1" w:space="0" w:color="000000"/>
                    <w:bottom w:val="none" w:sz="1" w:space="0" w:color="000000"/>
                    <w:right w:val="none" w:sz="1" w:space="0" w:color="000000"/>
                  </w:tcBorders>
                  <w:shd w:val="clear" w:color="auto" w:fill="auto"/>
                </w:tcPr>
                <w:p w14:paraId="39734EB4" w14:textId="61FEB4DA" w:rsidR="00045E2F" w:rsidRPr="00564D7A" w:rsidRDefault="008C26EC"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 xml:space="preserve">“El significado del tributo en tiempos de crisis (A modo de guía para la reflexión)”; en AA.VV.- O Significado do Imposto e da </w:t>
                  </w:r>
                  <w:proofErr w:type="spellStart"/>
                  <w:r w:rsidR="00045E2F" w:rsidRPr="00564D7A">
                    <w:rPr>
                      <w:rFonts w:ascii="Arial" w:hAnsi="Arial" w:cs="Arial"/>
                      <w:sz w:val="20"/>
                      <w:szCs w:val="20"/>
                    </w:rPr>
                    <w:t>Crise</w:t>
                  </w:r>
                  <w:proofErr w:type="spellEnd"/>
                  <w:r w:rsidR="00045E2F" w:rsidRPr="00564D7A">
                    <w:rPr>
                      <w:rFonts w:ascii="Arial" w:hAnsi="Arial" w:cs="Arial"/>
                      <w:sz w:val="20"/>
                      <w:szCs w:val="20"/>
                    </w:rPr>
                    <w:t xml:space="preserve">; </w:t>
                  </w:r>
                  <w:proofErr w:type="spellStart"/>
                  <w:r w:rsidR="00045E2F" w:rsidRPr="00564D7A">
                    <w:rPr>
                      <w:rFonts w:ascii="Arial" w:hAnsi="Arial" w:cs="Arial"/>
                      <w:sz w:val="20"/>
                      <w:szCs w:val="20"/>
                    </w:rPr>
                    <w:t>Colecção</w:t>
                  </w:r>
                  <w:proofErr w:type="spellEnd"/>
                  <w:r w:rsidR="00045E2F" w:rsidRPr="00564D7A">
                    <w:rPr>
                      <w:rFonts w:ascii="Arial" w:hAnsi="Arial" w:cs="Arial"/>
                      <w:sz w:val="20"/>
                      <w:szCs w:val="20"/>
                    </w:rPr>
                    <w:t xml:space="preserve"> </w:t>
                  </w:r>
                  <w:proofErr w:type="spellStart"/>
                  <w:r w:rsidR="00045E2F" w:rsidRPr="00564D7A">
                    <w:rPr>
                      <w:rFonts w:ascii="Arial" w:hAnsi="Arial" w:cs="Arial"/>
                      <w:sz w:val="20"/>
                      <w:szCs w:val="20"/>
                    </w:rPr>
                    <w:t>Ensaios</w:t>
                  </w:r>
                  <w:proofErr w:type="spellEnd"/>
                  <w:r w:rsidR="00045E2F" w:rsidRPr="00564D7A">
                    <w:rPr>
                      <w:rFonts w:ascii="Arial" w:hAnsi="Arial" w:cs="Arial"/>
                      <w:sz w:val="20"/>
                      <w:szCs w:val="20"/>
                    </w:rPr>
                    <w:t xml:space="preserve">, </w:t>
                  </w:r>
                  <w:proofErr w:type="spellStart"/>
                  <w:r w:rsidR="00045E2F" w:rsidRPr="00564D7A">
                    <w:rPr>
                      <w:rFonts w:ascii="Arial" w:hAnsi="Arial" w:cs="Arial"/>
                      <w:sz w:val="20"/>
                      <w:szCs w:val="20"/>
                    </w:rPr>
                    <w:t>Universidade</w:t>
                  </w:r>
                  <w:proofErr w:type="spellEnd"/>
                  <w:r w:rsidR="00045E2F" w:rsidRPr="00564D7A">
                    <w:rPr>
                      <w:rFonts w:ascii="Arial" w:hAnsi="Arial" w:cs="Arial"/>
                      <w:sz w:val="20"/>
                      <w:szCs w:val="20"/>
                    </w:rPr>
                    <w:t xml:space="preserve"> </w:t>
                  </w:r>
                  <w:proofErr w:type="spellStart"/>
                  <w:r w:rsidR="00045E2F" w:rsidRPr="00564D7A">
                    <w:rPr>
                      <w:rFonts w:ascii="Arial" w:hAnsi="Arial" w:cs="Arial"/>
                      <w:sz w:val="20"/>
                      <w:szCs w:val="20"/>
                    </w:rPr>
                    <w:t>Lusiada</w:t>
                  </w:r>
                  <w:proofErr w:type="spellEnd"/>
                  <w:r w:rsidR="00045E2F" w:rsidRPr="00564D7A">
                    <w:rPr>
                      <w:rFonts w:ascii="Arial" w:hAnsi="Arial" w:cs="Arial"/>
                      <w:sz w:val="20"/>
                      <w:szCs w:val="20"/>
                    </w:rPr>
                    <w:t>, Lisboa, 2014, páginas 19 a 42. ISBN 978-989-640-178-8</w:t>
                  </w:r>
                  <w:r w:rsidR="00BD0BAB" w:rsidRPr="00564D7A">
                    <w:rPr>
                      <w:rFonts w:ascii="Arial" w:hAnsi="Arial" w:cs="Arial"/>
                      <w:sz w:val="20"/>
                      <w:szCs w:val="20"/>
                    </w:rPr>
                    <w:t>.</w:t>
                  </w:r>
                </w:p>
                <w:p w14:paraId="4DA32165" w14:textId="77777777" w:rsidR="00BD0BAB" w:rsidRPr="00564D7A" w:rsidRDefault="00BD0BAB"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-“La impugnación Jurisdiccional de las vías de hecho en los procedimientos de inspección Tributaria”, Taller de Derecho Tributario, Consejo General del Poder Judicial, Madrid, 2011</w:t>
                  </w:r>
                </w:p>
              </w:tc>
            </w:tr>
            <w:tr w:rsidR="00045E2F" w:rsidRPr="00564D7A" w14:paraId="3BB361A6" w14:textId="77777777" w:rsidTr="00665BFF">
              <w:tc>
                <w:tcPr>
                  <w:tcW w:w="9781" w:type="dxa"/>
                  <w:tcBorders>
                    <w:left w:val="none" w:sz="1" w:space="0" w:color="000000"/>
                    <w:bottom w:val="none" w:sz="1" w:space="0" w:color="000000"/>
                    <w:right w:val="none" w:sz="1" w:space="0" w:color="000000"/>
                  </w:tcBorders>
                  <w:shd w:val="clear" w:color="auto" w:fill="auto"/>
                </w:tcPr>
                <w:p w14:paraId="61CDCEAD" w14:textId="036CF82D" w:rsidR="00D73ADA"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 xml:space="preserve">“Necesidad de aproximar la respuesta punitiva frente al fraude en los sectores armonizados de la fiscalidad”; en AA.VV.- Armonización y coordinación fiscal en la Unión Europea. Situación actual y posibles líneas de reforma, CEF, Madrid, </w:t>
                  </w:r>
                  <w:r w:rsidR="00BD0BAB" w:rsidRPr="00564D7A">
                    <w:rPr>
                      <w:rFonts w:ascii="Arial" w:hAnsi="Arial" w:cs="Arial"/>
                      <w:sz w:val="20"/>
                      <w:szCs w:val="20"/>
                    </w:rPr>
                    <w:t xml:space="preserve">2010; </w:t>
                  </w:r>
                  <w:r w:rsidRPr="00564D7A">
                    <w:rPr>
                      <w:rFonts w:ascii="Arial" w:hAnsi="Arial" w:cs="Arial"/>
                      <w:sz w:val="20"/>
                      <w:szCs w:val="20"/>
                    </w:rPr>
                    <w:t>páginas 253 a 264.</w:t>
                  </w:r>
                </w:p>
              </w:tc>
            </w:tr>
            <w:tr w:rsidR="00045E2F" w:rsidRPr="00564D7A" w14:paraId="2665504A" w14:textId="77777777" w:rsidTr="00665BFF">
              <w:tc>
                <w:tcPr>
                  <w:tcW w:w="9781" w:type="dxa"/>
                  <w:tcBorders>
                    <w:left w:val="none" w:sz="1" w:space="0" w:color="000000"/>
                    <w:bottom w:val="none" w:sz="1" w:space="0" w:color="000000"/>
                    <w:right w:val="none" w:sz="1" w:space="0" w:color="000000"/>
                  </w:tcBorders>
                  <w:shd w:val="clear" w:color="auto" w:fill="auto"/>
                </w:tcPr>
                <w:p w14:paraId="07547A01" w14:textId="067975D2" w:rsidR="00D73ADA" w:rsidRDefault="00D73ADA" w:rsidP="007D3B49">
                  <w:pPr>
                    <w:framePr w:hSpace="141" w:wrap="around" w:vAnchor="page" w:hAnchor="margin" w:xAlign="center" w:y="1156"/>
                    <w:spacing w:after="0" w:line="240" w:lineRule="auto"/>
                    <w:jc w:val="both"/>
                    <w:rPr>
                      <w:rFonts w:ascii="Arial" w:hAnsi="Arial" w:cs="Arial"/>
                      <w:sz w:val="20"/>
                      <w:szCs w:val="20"/>
                    </w:rPr>
                  </w:pPr>
                  <w:r w:rsidRPr="00564D7A">
                    <w:rPr>
                      <w:rFonts w:ascii="Arial" w:hAnsi="Arial" w:cs="Arial"/>
                      <w:sz w:val="20"/>
                      <w:szCs w:val="20"/>
                    </w:rPr>
                    <w:t xml:space="preserve">-“Comentario al artículo 133 de la Constitución” en AA.VV. Comentarios a la Constitución Española XXX Aniversario editado por la Fundación </w:t>
                  </w:r>
                  <w:proofErr w:type="spellStart"/>
                  <w:r w:rsidRPr="00564D7A">
                    <w:rPr>
                      <w:rFonts w:ascii="Arial" w:hAnsi="Arial" w:cs="Arial"/>
                      <w:sz w:val="20"/>
                      <w:szCs w:val="20"/>
                    </w:rPr>
                    <w:t>Wolters</w:t>
                  </w:r>
                  <w:proofErr w:type="spellEnd"/>
                  <w:r w:rsidRPr="00564D7A">
                    <w:rPr>
                      <w:rFonts w:ascii="Arial" w:hAnsi="Arial" w:cs="Arial"/>
                      <w:sz w:val="20"/>
                      <w:szCs w:val="20"/>
                    </w:rPr>
                    <w:t xml:space="preserve"> </w:t>
                  </w:r>
                  <w:proofErr w:type="spellStart"/>
                  <w:r w:rsidRPr="00564D7A">
                    <w:rPr>
                      <w:rFonts w:ascii="Arial" w:hAnsi="Arial" w:cs="Arial"/>
                      <w:sz w:val="20"/>
                      <w:szCs w:val="20"/>
                    </w:rPr>
                    <w:t>Kluwer</w:t>
                  </w:r>
                  <w:proofErr w:type="spellEnd"/>
                  <w:r w:rsidRPr="00564D7A">
                    <w:rPr>
                      <w:rFonts w:ascii="Arial" w:hAnsi="Arial" w:cs="Arial"/>
                      <w:sz w:val="20"/>
                      <w:szCs w:val="20"/>
                    </w:rPr>
                    <w:t>, Madrid 2008 – ISBN 978-84-936812-0-3, páginas 2017 a 2038.</w:t>
                  </w:r>
                </w:p>
                <w:p w14:paraId="7CA9B7DA" w14:textId="77777777" w:rsidR="008C26EC" w:rsidRPr="00564D7A" w:rsidRDefault="008C26EC" w:rsidP="007D3B49">
                  <w:pPr>
                    <w:framePr w:hSpace="141" w:wrap="around" w:vAnchor="page" w:hAnchor="margin" w:xAlign="center" w:y="1156"/>
                    <w:spacing w:after="0" w:line="240" w:lineRule="auto"/>
                    <w:jc w:val="both"/>
                    <w:rPr>
                      <w:rFonts w:ascii="Arial" w:hAnsi="Arial" w:cs="Arial"/>
                      <w:sz w:val="20"/>
                      <w:szCs w:val="20"/>
                    </w:rPr>
                  </w:pPr>
                </w:p>
                <w:p w14:paraId="5C4B78AD" w14:textId="7B9DFC85" w:rsidR="00D73ADA" w:rsidRPr="00564D7A" w:rsidRDefault="00D73ADA" w:rsidP="007D3B49">
                  <w:pPr>
                    <w:framePr w:hSpace="141" w:wrap="around" w:vAnchor="page" w:hAnchor="margin" w:xAlign="center" w:y="1156"/>
                    <w:spacing w:after="0" w:line="240" w:lineRule="auto"/>
                    <w:jc w:val="both"/>
                    <w:rPr>
                      <w:rFonts w:ascii="Arial" w:hAnsi="Arial" w:cs="Arial"/>
                      <w:sz w:val="20"/>
                      <w:szCs w:val="20"/>
                    </w:rPr>
                  </w:pPr>
                  <w:r w:rsidRPr="00564D7A">
                    <w:rPr>
                      <w:rFonts w:ascii="Arial" w:hAnsi="Arial" w:cs="Arial"/>
                      <w:sz w:val="20"/>
                      <w:szCs w:val="20"/>
                    </w:rPr>
                    <w:t xml:space="preserve">-“Ganancias patrimoniales no justificadas y delito fiscal”, en </w:t>
                  </w:r>
                  <w:r w:rsidRPr="00564D7A">
                    <w:rPr>
                      <w:rFonts w:ascii="Arial" w:hAnsi="Arial" w:cs="Arial"/>
                      <w:caps/>
                      <w:sz w:val="20"/>
                      <w:szCs w:val="20"/>
                    </w:rPr>
                    <w:t>aa.vv.</w:t>
                  </w:r>
                  <w:r w:rsidRPr="00564D7A">
                    <w:rPr>
                      <w:rFonts w:ascii="Arial" w:hAnsi="Arial" w:cs="Arial"/>
                      <w:sz w:val="20"/>
                      <w:szCs w:val="20"/>
                    </w:rPr>
                    <w:t xml:space="preserve"> Justicia y Derecho Tributario, Libro Homenaje al Profesor Julio Banacloche Pérez, La Ley, Madrid, 2008, páginas </w:t>
                  </w:r>
                  <w:smartTag w:uri="urn:schemas-microsoft-com:office:smarttags" w:element="metricconverter">
                    <w:smartTagPr>
                      <w:attr w:name="ProductID" w:val="277 a"/>
                    </w:smartTagPr>
                    <w:r w:rsidRPr="00564D7A">
                      <w:rPr>
                        <w:rFonts w:ascii="Arial" w:hAnsi="Arial" w:cs="Arial"/>
                        <w:sz w:val="20"/>
                        <w:szCs w:val="20"/>
                      </w:rPr>
                      <w:t>277 a</w:t>
                    </w:r>
                  </w:smartTag>
                  <w:r w:rsidR="00BB05DB">
                    <w:rPr>
                      <w:rFonts w:ascii="Arial" w:hAnsi="Arial" w:cs="Arial"/>
                      <w:sz w:val="20"/>
                      <w:szCs w:val="20"/>
                    </w:rPr>
                    <w:t xml:space="preserve"> 300; </w:t>
                  </w:r>
                  <w:r w:rsidR="00BB05DB">
                    <w:t xml:space="preserve"> </w:t>
                  </w:r>
                  <w:r w:rsidR="00BB05DB" w:rsidRPr="00BB05DB">
                    <w:rPr>
                      <w:rFonts w:ascii="Arial" w:hAnsi="Arial" w:cs="Arial"/>
                      <w:sz w:val="20"/>
                      <w:szCs w:val="20"/>
                    </w:rPr>
                    <w:t>ISBN 978-84-9725-938-5</w:t>
                  </w:r>
                  <w:r w:rsidR="00BB05DB">
                    <w:rPr>
                      <w:rFonts w:ascii="Arial" w:hAnsi="Arial" w:cs="Arial"/>
                      <w:sz w:val="20"/>
                      <w:szCs w:val="20"/>
                    </w:rPr>
                    <w:t>.</w:t>
                  </w:r>
                </w:p>
                <w:p w14:paraId="5043CB0F" w14:textId="77777777" w:rsidR="00D73ADA" w:rsidRPr="00564D7A" w:rsidRDefault="00D73ADA" w:rsidP="007D3B49">
                  <w:pPr>
                    <w:framePr w:hSpace="141" w:wrap="around" w:vAnchor="page" w:hAnchor="margin" w:xAlign="center" w:y="1156"/>
                    <w:spacing w:after="0" w:line="240" w:lineRule="auto"/>
                    <w:jc w:val="both"/>
                    <w:rPr>
                      <w:rFonts w:ascii="Arial" w:hAnsi="Arial" w:cs="Arial"/>
                      <w:sz w:val="20"/>
                      <w:szCs w:val="20"/>
                    </w:rPr>
                  </w:pPr>
                </w:p>
                <w:p w14:paraId="07459315" w14:textId="77777777" w:rsidR="00D73ADA" w:rsidRPr="00564D7A" w:rsidRDefault="00D73ADA" w:rsidP="007D3B49">
                  <w:pPr>
                    <w:framePr w:hSpace="141" w:wrap="around" w:vAnchor="page" w:hAnchor="margin" w:xAlign="center" w:y="1156"/>
                    <w:spacing w:after="0" w:line="240" w:lineRule="auto"/>
                    <w:jc w:val="both"/>
                    <w:rPr>
                      <w:rFonts w:ascii="Arial" w:hAnsi="Arial" w:cs="Arial"/>
                      <w:sz w:val="20"/>
                      <w:szCs w:val="20"/>
                    </w:rPr>
                  </w:pPr>
                </w:p>
                <w:p w14:paraId="3BEA8A8D" w14:textId="77777777" w:rsidR="002605DE" w:rsidRDefault="00D73ADA" w:rsidP="007D3B49">
                  <w:pPr>
                    <w:framePr w:hSpace="141" w:wrap="around" w:vAnchor="page" w:hAnchor="margin" w:xAlign="center" w:y="1156"/>
                    <w:spacing w:after="0" w:line="240" w:lineRule="auto"/>
                    <w:jc w:val="both"/>
                    <w:rPr>
                      <w:rFonts w:ascii="Arial" w:hAnsi="Arial" w:cs="Arial"/>
                      <w:sz w:val="20"/>
                      <w:szCs w:val="20"/>
                    </w:rPr>
                  </w:pPr>
                  <w:r w:rsidRPr="00564D7A">
                    <w:rPr>
                      <w:rFonts w:ascii="Arial" w:hAnsi="Arial" w:cs="Arial"/>
                      <w:sz w:val="20"/>
                      <w:szCs w:val="20"/>
                    </w:rPr>
                    <w:t xml:space="preserve">-“Administración Tributaria, jurisdicción penal y delito fiscal”, en </w:t>
                  </w:r>
                  <w:r w:rsidRPr="00564D7A">
                    <w:rPr>
                      <w:rFonts w:ascii="Arial" w:hAnsi="Arial" w:cs="Arial"/>
                      <w:caps/>
                      <w:sz w:val="20"/>
                      <w:szCs w:val="20"/>
                    </w:rPr>
                    <w:t xml:space="preserve">aa.vv. </w:t>
                  </w:r>
                  <w:r w:rsidRPr="00564D7A">
                    <w:rPr>
                      <w:rFonts w:ascii="Arial" w:hAnsi="Arial" w:cs="Arial"/>
                      <w:sz w:val="20"/>
                      <w:szCs w:val="20"/>
                    </w:rPr>
                    <w:t xml:space="preserve">Estudios Jurídicos en memoria de </w:t>
                  </w:r>
                  <w:r w:rsidRPr="00564D7A">
                    <w:rPr>
                      <w:rFonts w:ascii="Arial" w:hAnsi="Arial" w:cs="Arial"/>
                      <w:sz w:val="20"/>
                      <w:szCs w:val="20"/>
                    </w:rPr>
                    <w:lastRenderedPageBreak/>
                    <w:t xml:space="preserve">Don César </w:t>
                  </w:r>
                  <w:proofErr w:type="spellStart"/>
                  <w:r w:rsidRPr="00564D7A">
                    <w:rPr>
                      <w:rFonts w:ascii="Arial" w:hAnsi="Arial" w:cs="Arial"/>
                      <w:sz w:val="20"/>
                      <w:szCs w:val="20"/>
                    </w:rPr>
                    <w:t>Albiñana</w:t>
                  </w:r>
                  <w:proofErr w:type="spellEnd"/>
                  <w:r w:rsidRPr="00564D7A">
                    <w:rPr>
                      <w:rFonts w:ascii="Arial" w:hAnsi="Arial" w:cs="Arial"/>
                      <w:sz w:val="20"/>
                      <w:szCs w:val="20"/>
                    </w:rPr>
                    <w:t xml:space="preserve"> García-Quintana – volumen II, MEH-Instituto de Estudios Fiscales, Madrid,</w:t>
                  </w:r>
                  <w:r w:rsidR="00B10ED9">
                    <w:rPr>
                      <w:rFonts w:ascii="Arial" w:hAnsi="Arial" w:cs="Arial"/>
                      <w:sz w:val="20"/>
                      <w:szCs w:val="20"/>
                    </w:rPr>
                    <w:t xml:space="preserve">2008; </w:t>
                  </w:r>
                  <w:r w:rsidRPr="00564D7A">
                    <w:rPr>
                      <w:rFonts w:ascii="Arial" w:hAnsi="Arial" w:cs="Arial"/>
                      <w:sz w:val="20"/>
                      <w:szCs w:val="20"/>
                    </w:rPr>
                    <w:t xml:space="preserve"> ISBN 978-84-8008-276-1 (volumen II), páginas 1597 a 1617. </w:t>
                  </w:r>
                </w:p>
                <w:p w14:paraId="06B8FBDA" w14:textId="77777777" w:rsidR="002605DE" w:rsidRDefault="002605DE" w:rsidP="007D3B49">
                  <w:pPr>
                    <w:framePr w:hSpace="141" w:wrap="around" w:vAnchor="page" w:hAnchor="margin" w:xAlign="center" w:y="1156"/>
                    <w:spacing w:after="0" w:line="240" w:lineRule="auto"/>
                    <w:jc w:val="both"/>
                    <w:rPr>
                      <w:rFonts w:ascii="Arial" w:hAnsi="Arial" w:cs="Arial"/>
                      <w:sz w:val="20"/>
                      <w:szCs w:val="20"/>
                    </w:rPr>
                  </w:pPr>
                </w:p>
                <w:p w14:paraId="36ADEDD8" w14:textId="007896BA" w:rsidR="00D73ADA" w:rsidRPr="00564D7A" w:rsidRDefault="002605DE" w:rsidP="007D3B49">
                  <w:pPr>
                    <w:framePr w:hSpace="141" w:wrap="around" w:vAnchor="page" w:hAnchor="margin" w:xAlign="center" w:y="1156"/>
                    <w:spacing w:after="0" w:line="240" w:lineRule="auto"/>
                    <w:jc w:val="both"/>
                    <w:rPr>
                      <w:rFonts w:ascii="Arial" w:hAnsi="Arial" w:cs="Arial"/>
                      <w:sz w:val="20"/>
                      <w:szCs w:val="20"/>
                    </w:rPr>
                  </w:pPr>
                  <w:r>
                    <w:rPr>
                      <w:rFonts w:ascii="Arial" w:hAnsi="Arial" w:cs="Arial"/>
                      <w:sz w:val="20"/>
                      <w:szCs w:val="20"/>
                    </w:rPr>
                    <w:t>-</w:t>
                  </w:r>
                  <w:r w:rsidRPr="002605DE">
                    <w:rPr>
                      <w:rFonts w:ascii="Arial" w:hAnsi="Arial" w:cs="Arial"/>
                      <w:sz w:val="20"/>
                      <w:szCs w:val="20"/>
                    </w:rPr>
                    <w:t>"La financiación de las Corporaciones Locales: principios de autonomía y suficiencia financiera”, en AA.VV. Globalización</w:t>
                  </w:r>
                  <w:r>
                    <w:rPr>
                      <w:rFonts w:ascii="Arial" w:hAnsi="Arial" w:cs="Arial"/>
                      <w:sz w:val="20"/>
                      <w:szCs w:val="20"/>
                    </w:rPr>
                    <w:t xml:space="preserve"> y principio de autonomía local; </w:t>
                  </w:r>
                  <w:r w:rsidRPr="002605DE">
                    <w:rPr>
                      <w:rFonts w:ascii="Arial" w:hAnsi="Arial" w:cs="Arial"/>
                      <w:sz w:val="20"/>
                      <w:szCs w:val="20"/>
                    </w:rPr>
                    <w:t>Consejo General del Poder Judicial – Manua</w:t>
                  </w:r>
                  <w:r>
                    <w:rPr>
                      <w:rFonts w:ascii="Arial" w:hAnsi="Arial" w:cs="Arial"/>
                      <w:sz w:val="20"/>
                      <w:szCs w:val="20"/>
                    </w:rPr>
                    <w:t>les de Formación Continuada 44; Madrid, 2008, páginas 349 a 424;</w:t>
                  </w:r>
                  <w:r w:rsidRPr="002605DE">
                    <w:rPr>
                      <w:rFonts w:ascii="Arial" w:hAnsi="Arial" w:cs="Arial"/>
                      <w:sz w:val="20"/>
                      <w:szCs w:val="20"/>
                    </w:rPr>
                    <w:t xml:space="preserve">  ISBN 978-84-96809-81-9</w:t>
                  </w:r>
                  <w:r w:rsidR="00D73ADA" w:rsidRPr="00564D7A">
                    <w:rPr>
                      <w:rFonts w:ascii="Arial" w:hAnsi="Arial" w:cs="Arial"/>
                      <w:sz w:val="20"/>
                      <w:szCs w:val="20"/>
                    </w:rPr>
                    <w:t xml:space="preserve">  </w:t>
                  </w:r>
                </w:p>
              </w:tc>
            </w:tr>
            <w:tr w:rsidR="00045E2F" w:rsidRPr="00564D7A" w14:paraId="4EA6176D" w14:textId="77777777" w:rsidTr="00665BFF">
              <w:tc>
                <w:tcPr>
                  <w:tcW w:w="9781" w:type="dxa"/>
                  <w:tcBorders>
                    <w:left w:val="none" w:sz="1" w:space="0" w:color="000000"/>
                    <w:bottom w:val="none" w:sz="1" w:space="0" w:color="000000"/>
                    <w:right w:val="none" w:sz="1" w:space="0" w:color="000000"/>
                  </w:tcBorders>
                  <w:shd w:val="clear" w:color="auto" w:fill="auto"/>
                </w:tcPr>
                <w:p w14:paraId="7B86A5A9" w14:textId="77777777" w:rsidR="00045E2F"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lastRenderedPageBreak/>
                    <w:t>“Presunciones, ficciones tributarias y categorías normativas afines o asociadas”; en AA.VV.- 11º Congreso Tributario del Consejo Profesional de Ciencias Económicas de la Universidad de Buenos Aires, EDICON, Fondo Editorial Consejo, 2006. ISBN-10:987-1281-20-X ISBN-13:978-987-1281-20-6</w:t>
                  </w:r>
                </w:p>
              </w:tc>
            </w:tr>
            <w:tr w:rsidR="00045E2F" w:rsidRPr="00564D7A" w14:paraId="4C6EF438" w14:textId="77777777" w:rsidTr="00665BFF">
              <w:tc>
                <w:tcPr>
                  <w:tcW w:w="9781" w:type="dxa"/>
                  <w:tcBorders>
                    <w:left w:val="none" w:sz="1" w:space="0" w:color="000000"/>
                    <w:bottom w:val="none" w:sz="1" w:space="0" w:color="000000"/>
                    <w:right w:val="none" w:sz="1" w:space="0" w:color="000000"/>
                  </w:tcBorders>
                  <w:shd w:val="clear" w:color="auto" w:fill="auto"/>
                </w:tcPr>
                <w:p w14:paraId="02E3D3DD" w14:textId="79437F6D" w:rsidR="00045E2F"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“Persona y Derecho Tributario”; en AA.VV.- Persona y Derecho. Revista de fundamentación de las Instituciones Jurídicas y de Derechos Humanos. Veinticinco años de jurisprudencia constitucional II. 55, 2006, páginas 905 a 930</w:t>
                  </w:r>
                  <w:r w:rsidR="00B10ED9">
                    <w:rPr>
                      <w:rFonts w:ascii="Arial" w:hAnsi="Arial" w:cs="Arial"/>
                      <w:sz w:val="20"/>
                      <w:szCs w:val="20"/>
                    </w:rPr>
                    <w:t>.</w:t>
                  </w:r>
                </w:p>
                <w:p w14:paraId="1C9B8999" w14:textId="77777777" w:rsidR="00B10ED9" w:rsidRDefault="00B10ED9"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p>
                <w:p w14:paraId="09BA6719" w14:textId="04BFB585" w:rsidR="00B10ED9" w:rsidRPr="00BB05DB" w:rsidRDefault="00B10ED9"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Pr="00BB05DB">
                    <w:rPr>
                      <w:rFonts w:ascii="Arial" w:hAnsi="Arial" w:cs="Arial"/>
                      <w:sz w:val="20"/>
                      <w:szCs w:val="20"/>
                    </w:rPr>
                    <w:t xml:space="preserve">Sobre la jurisprudencia constitucional española relativa al Impuesto sobre la Renta de las Personas Físicas”, en </w:t>
                  </w:r>
                  <w:proofErr w:type="spellStart"/>
                  <w:r w:rsidRPr="00BB05DB">
                    <w:rPr>
                      <w:rFonts w:ascii="Arial" w:hAnsi="Arial" w:cs="Arial"/>
                      <w:sz w:val="20"/>
                      <w:szCs w:val="20"/>
                    </w:rPr>
                    <w:t>Liber</w:t>
                  </w:r>
                  <w:proofErr w:type="spellEnd"/>
                  <w:r w:rsidRPr="00BB05DB">
                    <w:rPr>
                      <w:rFonts w:ascii="Arial" w:hAnsi="Arial" w:cs="Arial"/>
                      <w:sz w:val="20"/>
                      <w:szCs w:val="20"/>
                    </w:rPr>
                    <w:t xml:space="preserve"> </w:t>
                  </w:r>
                  <w:proofErr w:type="spellStart"/>
                  <w:r w:rsidRPr="00BB05DB">
                    <w:rPr>
                      <w:rFonts w:ascii="Arial" w:hAnsi="Arial" w:cs="Arial"/>
                      <w:sz w:val="20"/>
                      <w:szCs w:val="20"/>
                    </w:rPr>
                    <w:t>Amicorum</w:t>
                  </w:r>
                  <w:proofErr w:type="spellEnd"/>
                  <w:r w:rsidRPr="00BB05DB">
                    <w:rPr>
                      <w:rFonts w:ascii="Arial" w:hAnsi="Arial" w:cs="Arial"/>
                      <w:sz w:val="20"/>
                      <w:szCs w:val="20"/>
                    </w:rPr>
                    <w:t xml:space="preserve"> Jacques </w:t>
                  </w:r>
                  <w:proofErr w:type="spellStart"/>
                  <w:r w:rsidRPr="00BB05DB">
                    <w:rPr>
                      <w:rFonts w:ascii="Arial" w:hAnsi="Arial" w:cs="Arial"/>
                      <w:sz w:val="20"/>
                      <w:szCs w:val="20"/>
                    </w:rPr>
                    <w:t>Malherbe</w:t>
                  </w:r>
                  <w:proofErr w:type="spellEnd"/>
                  <w:r w:rsidRPr="00BB05DB">
                    <w:rPr>
                      <w:rFonts w:ascii="Arial" w:hAnsi="Arial" w:cs="Arial"/>
                      <w:sz w:val="20"/>
                      <w:szCs w:val="20"/>
                    </w:rPr>
                    <w:t xml:space="preserve">, Editorial Emile </w:t>
                  </w:r>
                  <w:proofErr w:type="spellStart"/>
                  <w:r w:rsidRPr="00BB05DB">
                    <w:rPr>
                      <w:rFonts w:ascii="Arial" w:hAnsi="Arial" w:cs="Arial"/>
                      <w:sz w:val="20"/>
                      <w:szCs w:val="20"/>
                    </w:rPr>
                    <w:t>Bruylant</w:t>
                  </w:r>
                  <w:proofErr w:type="spellEnd"/>
                  <w:r w:rsidRPr="00BB05DB">
                    <w:rPr>
                      <w:rFonts w:ascii="Arial" w:hAnsi="Arial" w:cs="Arial"/>
                      <w:sz w:val="20"/>
                      <w:szCs w:val="20"/>
                    </w:rPr>
                    <w:t xml:space="preserve">, </w:t>
                  </w:r>
                  <w:proofErr w:type="spellStart"/>
                  <w:r w:rsidRPr="00BB05DB">
                    <w:rPr>
                      <w:rFonts w:ascii="Arial" w:hAnsi="Arial" w:cs="Arial"/>
                      <w:sz w:val="20"/>
                      <w:szCs w:val="20"/>
                    </w:rPr>
                    <w:t>S.A.</w:t>
                  </w:r>
                  <w:proofErr w:type="gramStart"/>
                  <w:r w:rsidRPr="00BB05DB">
                    <w:rPr>
                      <w:rFonts w:ascii="Arial" w:hAnsi="Arial" w:cs="Arial"/>
                      <w:sz w:val="20"/>
                      <w:szCs w:val="20"/>
                    </w:rPr>
                    <w:t>,Bruselas</w:t>
                  </w:r>
                  <w:proofErr w:type="spellEnd"/>
                  <w:proofErr w:type="gramEnd"/>
                  <w:r w:rsidRPr="00BB05DB">
                    <w:rPr>
                      <w:rFonts w:ascii="Arial" w:hAnsi="Arial" w:cs="Arial"/>
                      <w:sz w:val="20"/>
                      <w:szCs w:val="20"/>
                    </w:rPr>
                    <w:t xml:space="preserve">, 2006, páginas 189 a 207; </w:t>
                  </w:r>
                  <w:r w:rsidR="00BB05DB" w:rsidRPr="00BB05DB">
                    <w:rPr>
                      <w:rFonts w:ascii="Arial" w:hAnsi="Arial" w:cs="Arial"/>
                      <w:sz w:val="20"/>
                      <w:szCs w:val="20"/>
                    </w:rPr>
                    <w:t>- ISBN 2-8027-2258-1</w:t>
                  </w:r>
                  <w:r w:rsidR="00BB05DB">
                    <w:rPr>
                      <w:rFonts w:ascii="Arial" w:hAnsi="Arial" w:cs="Arial"/>
                      <w:sz w:val="20"/>
                      <w:szCs w:val="20"/>
                    </w:rPr>
                    <w:t>.</w:t>
                  </w:r>
                </w:p>
              </w:tc>
            </w:tr>
            <w:tr w:rsidR="00045E2F" w:rsidRPr="00564D7A" w14:paraId="73C01C6C" w14:textId="77777777" w:rsidTr="00665BFF">
              <w:tc>
                <w:tcPr>
                  <w:tcW w:w="9781" w:type="dxa"/>
                  <w:tcBorders>
                    <w:left w:val="none" w:sz="1" w:space="0" w:color="000000"/>
                    <w:bottom w:val="none" w:sz="1" w:space="0" w:color="000000"/>
                    <w:right w:val="none" w:sz="1" w:space="0" w:color="000000"/>
                  </w:tcBorders>
                  <w:shd w:val="clear" w:color="auto" w:fill="auto"/>
                </w:tcPr>
                <w:p w14:paraId="4F7FF91F" w14:textId="15FF19BD" w:rsidR="00045E2F" w:rsidRPr="00564D7A" w:rsidRDefault="00B10ED9" w:rsidP="007D3B49">
                  <w:pPr>
                    <w:framePr w:hSpace="141" w:wrap="around" w:vAnchor="page" w:hAnchor="margin" w:xAlign="center" w:y="1156"/>
                    <w:pBdr>
                      <w:bottom w:val="single" w:sz="6" w:space="1" w:color="auto"/>
                    </w:pBdr>
                    <w:jc w:val="both"/>
                    <w:rPr>
                      <w:rFonts w:ascii="Arial" w:hAnsi="Arial" w:cs="Arial"/>
                      <w:sz w:val="20"/>
                      <w:szCs w:val="20"/>
                    </w:rPr>
                  </w:pPr>
                  <w:r>
                    <w:rPr>
                      <w:rFonts w:ascii="Arial" w:hAnsi="Arial" w:cs="Arial"/>
                      <w:sz w:val="20"/>
                      <w:szCs w:val="20"/>
                    </w:rPr>
                    <w:t xml:space="preserve"> </w:t>
                  </w:r>
                  <w:r w:rsidR="00045E2F" w:rsidRPr="00564D7A">
                    <w:rPr>
                      <w:rFonts w:ascii="Arial" w:hAnsi="Arial" w:cs="Arial"/>
                      <w:sz w:val="20"/>
                      <w:szCs w:val="20"/>
                    </w:rPr>
                    <w:t>“Deber de contribuir e Impuesto sobre la Renta de las Personas Físicas en la Jurisprudencia Constitucional",  AA. VV.- Manual del Impuesto sobre la Renta de las Personas Físicas, Madrid, IEF, 2005</w:t>
                  </w:r>
                  <w:r w:rsidR="00BB05DB">
                    <w:rPr>
                      <w:rFonts w:ascii="Arial" w:hAnsi="Arial" w:cs="Arial"/>
                      <w:sz w:val="20"/>
                      <w:szCs w:val="20"/>
                    </w:rPr>
                    <w:t xml:space="preserve">; </w:t>
                  </w:r>
                  <w:r w:rsidR="00BB05DB">
                    <w:rPr>
                      <w:rFonts w:ascii="Arial Narrow" w:hAnsi="Arial Narrow"/>
                    </w:rPr>
                    <w:t xml:space="preserve"> </w:t>
                  </w:r>
                  <w:r w:rsidR="00BB05DB" w:rsidRPr="00BB05DB">
                    <w:rPr>
                      <w:rFonts w:ascii="Arial" w:hAnsi="Arial" w:cs="Arial"/>
                      <w:sz w:val="20"/>
                      <w:szCs w:val="20"/>
                    </w:rPr>
                    <w:t>Manuales de la EHP (ISBN 84-8008-181-3)</w:t>
                  </w:r>
                  <w:r w:rsidR="00BB05DB">
                    <w:rPr>
                      <w:rFonts w:ascii="Arial" w:hAnsi="Arial" w:cs="Arial"/>
                      <w:sz w:val="20"/>
                      <w:szCs w:val="20"/>
                    </w:rPr>
                    <w:t>.</w:t>
                  </w:r>
                </w:p>
              </w:tc>
            </w:tr>
            <w:tr w:rsidR="00045E2F" w:rsidRPr="00564D7A" w14:paraId="2B960272" w14:textId="77777777" w:rsidTr="00665BFF">
              <w:tc>
                <w:tcPr>
                  <w:tcW w:w="9781" w:type="dxa"/>
                  <w:tcBorders>
                    <w:left w:val="none" w:sz="1" w:space="0" w:color="000000"/>
                    <w:bottom w:val="none" w:sz="1" w:space="0" w:color="000000"/>
                    <w:right w:val="none" w:sz="1" w:space="0" w:color="000000"/>
                  </w:tcBorders>
                  <w:shd w:val="clear" w:color="auto" w:fill="auto"/>
                </w:tcPr>
                <w:p w14:paraId="1A4AF341" w14:textId="768B1EBB" w:rsidR="00045E2F" w:rsidRPr="00564D7A" w:rsidRDefault="008C26EC"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Pr>
                      <w:rFonts w:ascii="Arial" w:hAnsi="Arial" w:cs="Arial"/>
                      <w:sz w:val="20"/>
                      <w:szCs w:val="20"/>
                    </w:rPr>
                    <w:t>-</w:t>
                  </w:r>
                  <w:r w:rsidR="00045E2F" w:rsidRPr="00564D7A">
                    <w:rPr>
                      <w:rFonts w:ascii="Arial" w:hAnsi="Arial" w:cs="Arial"/>
                      <w:sz w:val="20"/>
                      <w:szCs w:val="20"/>
                    </w:rPr>
                    <w:t xml:space="preserve">“La Hacienda Local en la Constitución y en la jurisprudencia del Tribunal Constitucional español”, AA. VV.- La financiación de los Municipios. Experiencias comparadas, Editorial </w:t>
                  </w:r>
                  <w:proofErr w:type="spellStart"/>
                  <w:r w:rsidR="00045E2F" w:rsidRPr="00564D7A">
                    <w:rPr>
                      <w:rFonts w:ascii="Arial" w:hAnsi="Arial" w:cs="Arial"/>
                      <w:sz w:val="20"/>
                      <w:szCs w:val="20"/>
                    </w:rPr>
                    <w:t>Dykinson</w:t>
                  </w:r>
                  <w:proofErr w:type="spellEnd"/>
                  <w:r w:rsidR="00045E2F" w:rsidRPr="00564D7A">
                    <w:rPr>
                      <w:rFonts w:ascii="Arial" w:hAnsi="Arial" w:cs="Arial"/>
                      <w:sz w:val="20"/>
                      <w:szCs w:val="20"/>
                    </w:rPr>
                    <w:t>, 2005</w:t>
                  </w:r>
                  <w:r w:rsidR="00BB05DB" w:rsidRPr="00BB05DB">
                    <w:rPr>
                      <w:rFonts w:ascii="Arial" w:hAnsi="Arial" w:cs="Arial"/>
                      <w:sz w:val="20"/>
                      <w:szCs w:val="20"/>
                    </w:rPr>
                    <w:t xml:space="preserve">, </w:t>
                  </w:r>
                  <w:r w:rsidR="00BB05DB">
                    <w:rPr>
                      <w:rFonts w:ascii="Arial" w:hAnsi="Arial" w:cs="Arial"/>
                      <w:sz w:val="20"/>
                      <w:szCs w:val="20"/>
                    </w:rPr>
                    <w:t>páginas 11 a 24; y 433 a 485; ISBN 84-9772-770-3.</w:t>
                  </w:r>
                </w:p>
              </w:tc>
            </w:tr>
            <w:tr w:rsidR="00045E2F" w:rsidRPr="00564D7A" w14:paraId="10FA0597" w14:textId="77777777" w:rsidTr="00665BFF">
              <w:tc>
                <w:tcPr>
                  <w:tcW w:w="9781" w:type="dxa"/>
                  <w:tcBorders>
                    <w:left w:val="none" w:sz="1" w:space="0" w:color="000000"/>
                    <w:bottom w:val="none" w:sz="1" w:space="0" w:color="000000"/>
                    <w:right w:val="none" w:sz="1" w:space="0" w:color="000000"/>
                  </w:tcBorders>
                  <w:shd w:val="clear" w:color="auto" w:fill="auto"/>
                </w:tcPr>
                <w:p w14:paraId="7B3D5AFE" w14:textId="77777777" w:rsidR="00045E2F"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“En torno a la jurisprudencia constitucional tributaria del primer bienio del siglo. Algunos materiales de reflexión sobre la distribución constitucional de competencias tributarias”, en Comentarios de Jurisprudencia Tributaria Constitucional (años 2000-2001), Instituto de Estudios Fiscales, 2002</w:t>
                  </w:r>
                </w:p>
              </w:tc>
            </w:tr>
            <w:tr w:rsidR="00045E2F" w:rsidRPr="00564D7A" w14:paraId="64B50832" w14:textId="77777777" w:rsidTr="00665BFF">
              <w:tc>
                <w:tcPr>
                  <w:tcW w:w="9781" w:type="dxa"/>
                  <w:tcBorders>
                    <w:left w:val="none" w:sz="1" w:space="0" w:color="000000"/>
                    <w:bottom w:val="none" w:sz="1" w:space="0" w:color="000000"/>
                    <w:right w:val="none" w:sz="1" w:space="0" w:color="000000"/>
                  </w:tcBorders>
                  <w:shd w:val="clear" w:color="auto" w:fill="auto"/>
                </w:tcPr>
                <w:p w14:paraId="5632C971" w14:textId="77777777" w:rsidR="00045E2F"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Procedimientos de Liquidación y de Comprobación de los Tributos en la Legislación Española, SENIAT, Caracas, Venezuela, 2002, ISBN: 980-6473-08-6</w:t>
                  </w:r>
                </w:p>
              </w:tc>
            </w:tr>
            <w:tr w:rsidR="00045E2F" w:rsidRPr="00564D7A" w14:paraId="677AF5F8" w14:textId="77777777" w:rsidTr="00665BFF">
              <w:tc>
                <w:tcPr>
                  <w:tcW w:w="9781" w:type="dxa"/>
                  <w:tcBorders>
                    <w:left w:val="none" w:sz="1" w:space="0" w:color="000000"/>
                    <w:bottom w:val="none" w:sz="1" w:space="0" w:color="000000"/>
                    <w:right w:val="none" w:sz="1" w:space="0" w:color="000000"/>
                  </w:tcBorders>
                  <w:shd w:val="clear" w:color="auto" w:fill="auto"/>
                </w:tcPr>
                <w:p w14:paraId="405E2586" w14:textId="77777777" w:rsidR="00045E2F" w:rsidRPr="00564D7A" w:rsidRDefault="00045E2F" w:rsidP="007D3B49">
                  <w:pPr>
                    <w:pStyle w:val="Sangradetextonormal"/>
                    <w:framePr w:hSpace="141" w:wrap="around" w:vAnchor="page" w:hAnchor="margin" w:xAlign="center" w:y="1156"/>
                    <w:widowControl/>
                    <w:suppressAutoHyphens w:val="0"/>
                    <w:spacing w:after="0"/>
                    <w:ind w:left="0"/>
                    <w:jc w:val="both"/>
                    <w:rPr>
                      <w:rFonts w:ascii="Arial" w:hAnsi="Arial" w:cs="Arial"/>
                      <w:sz w:val="20"/>
                      <w:szCs w:val="20"/>
                    </w:rPr>
                  </w:pPr>
                  <w:r w:rsidRPr="00564D7A">
                    <w:rPr>
                      <w:rFonts w:ascii="Arial" w:hAnsi="Arial" w:cs="Arial"/>
                      <w:sz w:val="20"/>
                      <w:szCs w:val="20"/>
                    </w:rPr>
                    <w:t>“Legalidad tributaria y función calificadora de la Administración”, en Revista Jurídica General, Boletín del Ilustre Colegio de Abogados de Madrid, 2000</w:t>
                  </w:r>
                </w:p>
              </w:tc>
            </w:tr>
            <w:tr w:rsidR="00045E2F" w:rsidRPr="00564D7A" w14:paraId="6676D17D" w14:textId="77777777" w:rsidTr="00665BFF">
              <w:tc>
                <w:tcPr>
                  <w:tcW w:w="9781" w:type="dxa"/>
                  <w:tcBorders>
                    <w:left w:val="none" w:sz="1" w:space="0" w:color="000000"/>
                    <w:bottom w:val="none" w:sz="1" w:space="0" w:color="000000"/>
                    <w:right w:val="none" w:sz="1" w:space="0" w:color="000000"/>
                  </w:tcBorders>
                  <w:shd w:val="clear" w:color="auto" w:fill="auto"/>
                </w:tcPr>
                <w:p w14:paraId="60663209" w14:textId="3D6B46A3" w:rsidR="00045E2F" w:rsidRPr="00564D7A" w:rsidRDefault="00045E2F" w:rsidP="007D3B49">
                  <w:pPr>
                    <w:pStyle w:val="Sangradetextonormal"/>
                    <w:framePr w:hSpace="141" w:wrap="around" w:vAnchor="page" w:hAnchor="margin" w:xAlign="center" w:y="1156"/>
                    <w:widowControl/>
                    <w:suppressAutoHyphens w:val="0"/>
                    <w:spacing w:after="0"/>
                    <w:ind w:left="-1387" w:firstLine="1387"/>
                    <w:jc w:val="both"/>
                    <w:rPr>
                      <w:rFonts w:ascii="Arial" w:hAnsi="Arial" w:cs="Arial"/>
                      <w:sz w:val="20"/>
                      <w:szCs w:val="20"/>
                    </w:rPr>
                  </w:pPr>
                  <w:r w:rsidRPr="00564D7A">
                    <w:rPr>
                      <w:rFonts w:ascii="Arial" w:hAnsi="Arial" w:cs="Arial"/>
                      <w:sz w:val="20"/>
                      <w:szCs w:val="20"/>
                    </w:rPr>
                    <w:t xml:space="preserve">"La protección de los derechos de los contribuyentes y el deber de contribuir", en AA.VV.- Tribunal Federal de </w:t>
                  </w:r>
                  <w:r w:rsidR="008C26EC">
                    <w:rPr>
                      <w:rFonts w:ascii="Arial" w:hAnsi="Arial" w:cs="Arial"/>
                      <w:sz w:val="20"/>
                      <w:szCs w:val="20"/>
                    </w:rPr>
                    <w:t>Justicia Fisca</w:t>
                  </w:r>
                </w:p>
              </w:tc>
            </w:tr>
          </w:tbl>
          <w:p w14:paraId="6DFB9E20" w14:textId="1DFF9A2B" w:rsidR="00045E2F" w:rsidRPr="00564D7A" w:rsidRDefault="008C26EC" w:rsidP="00564D7A">
            <w:pPr>
              <w:rPr>
                <w:rFonts w:ascii="Arial" w:hAnsi="Arial" w:cs="Arial"/>
                <w:sz w:val="20"/>
                <w:szCs w:val="20"/>
              </w:rPr>
            </w:pPr>
            <w:r>
              <w:rPr>
                <w:rFonts w:ascii="Arial" w:hAnsi="Arial" w:cs="Arial"/>
                <w:sz w:val="20"/>
                <w:szCs w:val="20"/>
              </w:rPr>
              <w:t>Justicia Fiscal y Administrativa</w:t>
            </w:r>
            <w:proofErr w:type="gramStart"/>
            <w:r>
              <w:rPr>
                <w:rFonts w:ascii="Arial" w:hAnsi="Arial" w:cs="Arial"/>
                <w:sz w:val="20"/>
                <w:szCs w:val="20"/>
              </w:rPr>
              <w:t>.</w:t>
            </w:r>
            <w:r w:rsidRPr="00564D7A">
              <w:rPr>
                <w:rFonts w:ascii="Arial" w:hAnsi="Arial" w:cs="Arial"/>
                <w:sz w:val="20"/>
                <w:szCs w:val="20"/>
              </w:rPr>
              <w:t>.</w:t>
            </w:r>
            <w:proofErr w:type="gramEnd"/>
            <w:r w:rsidRPr="00564D7A">
              <w:rPr>
                <w:rFonts w:ascii="Arial" w:hAnsi="Arial" w:cs="Arial"/>
                <w:sz w:val="20"/>
                <w:szCs w:val="20"/>
              </w:rPr>
              <w:t xml:space="preserve"> A los LXV  años de la Ley de Justicia Fiscal; México, Tomo I, 2001</w:t>
            </w:r>
            <w:r>
              <w:rPr>
                <w:rFonts w:ascii="Arial" w:hAnsi="Arial" w:cs="Arial"/>
                <w:sz w:val="20"/>
                <w:szCs w:val="20"/>
              </w:rPr>
              <w:t>.</w:t>
            </w:r>
          </w:p>
          <w:p w14:paraId="70DF9E56" w14:textId="77777777" w:rsidR="001D7F79" w:rsidRPr="00564D7A" w:rsidRDefault="001D7F79" w:rsidP="00564D7A">
            <w:pPr>
              <w:rPr>
                <w:rFonts w:ascii="Arial" w:hAnsi="Arial" w:cs="Arial"/>
                <w:sz w:val="20"/>
                <w:szCs w:val="20"/>
              </w:rPr>
            </w:pPr>
          </w:p>
        </w:tc>
      </w:tr>
      <w:tr w:rsidR="001D7F79" w14:paraId="2A282BCD" w14:textId="77777777" w:rsidTr="5BFDD365">
        <w:tc>
          <w:tcPr>
            <w:tcW w:w="1560" w:type="dxa"/>
          </w:tcPr>
          <w:p w14:paraId="564F6D95" w14:textId="77777777" w:rsidR="001D7F79" w:rsidRDefault="001D7F79" w:rsidP="00564D7A">
            <w:pPr>
              <w:rPr>
                <w:u w:val="single"/>
              </w:rPr>
            </w:pPr>
            <w:r>
              <w:rPr>
                <w:u w:val="single"/>
              </w:rPr>
              <w:lastRenderedPageBreak/>
              <w:t>Experiencia Profesional</w:t>
            </w:r>
          </w:p>
          <w:p w14:paraId="44E871BC" w14:textId="77777777" w:rsidR="001D7F79" w:rsidRDefault="001D7F79" w:rsidP="00564D7A">
            <w:pPr>
              <w:rPr>
                <w:u w:val="single"/>
              </w:rPr>
            </w:pPr>
          </w:p>
          <w:p w14:paraId="144A5D23" w14:textId="77777777" w:rsidR="001D7F79" w:rsidRDefault="001D7F79" w:rsidP="00564D7A">
            <w:pPr>
              <w:rPr>
                <w:u w:val="single"/>
              </w:rPr>
            </w:pPr>
          </w:p>
          <w:p w14:paraId="738610EB" w14:textId="77777777" w:rsidR="001D7F79" w:rsidRDefault="001D7F79" w:rsidP="00564D7A">
            <w:pPr>
              <w:rPr>
                <w:u w:val="single"/>
              </w:rPr>
            </w:pPr>
          </w:p>
          <w:p w14:paraId="637805D2" w14:textId="77777777" w:rsidR="001D7F79" w:rsidRDefault="001D7F79" w:rsidP="00564D7A">
            <w:pPr>
              <w:rPr>
                <w:u w:val="single"/>
              </w:rPr>
            </w:pPr>
          </w:p>
          <w:p w14:paraId="463F29E8" w14:textId="77777777" w:rsidR="001D7F79" w:rsidRDefault="001D7F79" w:rsidP="00564D7A">
            <w:pPr>
              <w:rPr>
                <w:u w:val="single"/>
              </w:rPr>
            </w:pPr>
          </w:p>
          <w:p w14:paraId="3B7B4B86" w14:textId="77777777" w:rsidR="001D7F79" w:rsidRPr="003A369F" w:rsidRDefault="001D7F79" w:rsidP="00564D7A">
            <w:pPr>
              <w:rPr>
                <w:u w:val="single"/>
              </w:rPr>
            </w:pPr>
          </w:p>
        </w:tc>
        <w:tc>
          <w:tcPr>
            <w:tcW w:w="10059" w:type="dxa"/>
            <w:gridSpan w:val="2"/>
          </w:tcPr>
          <w:p w14:paraId="3A0FF5F2" w14:textId="7DB79441" w:rsidR="00D73ADA" w:rsidRPr="00564D7A" w:rsidRDefault="008C26EC" w:rsidP="008C26EC">
            <w:pPr>
              <w:pStyle w:val="Sangradetextonormal"/>
              <w:spacing w:after="0"/>
              <w:ind w:left="0"/>
              <w:rPr>
                <w:rFonts w:ascii="Arial" w:hAnsi="Arial" w:cs="Arial"/>
                <w:sz w:val="20"/>
                <w:szCs w:val="20"/>
              </w:rPr>
            </w:pPr>
            <w:r w:rsidRPr="00564D7A">
              <w:rPr>
                <w:rFonts w:ascii="Arial" w:hAnsi="Arial" w:cs="Arial"/>
                <w:sz w:val="20"/>
                <w:szCs w:val="20"/>
              </w:rPr>
              <w:t>- Abogado en ejercicio.</w:t>
            </w:r>
          </w:p>
          <w:p w14:paraId="79E170F4" w14:textId="77777777" w:rsidR="00D73ADA" w:rsidRPr="00564D7A" w:rsidRDefault="00D73ADA" w:rsidP="00564D7A">
            <w:pPr>
              <w:rPr>
                <w:rFonts w:ascii="Arial" w:hAnsi="Arial" w:cs="Arial"/>
                <w:sz w:val="20"/>
                <w:szCs w:val="20"/>
              </w:rPr>
            </w:pPr>
            <w:r w:rsidRPr="00564D7A">
              <w:rPr>
                <w:rFonts w:ascii="Arial" w:hAnsi="Arial" w:cs="Arial"/>
                <w:sz w:val="20"/>
                <w:szCs w:val="20"/>
              </w:rPr>
              <w:t>-</w:t>
            </w:r>
            <w:proofErr w:type="spellStart"/>
            <w:r w:rsidRPr="00564D7A">
              <w:rPr>
                <w:rFonts w:ascii="Arial" w:hAnsi="Arial" w:cs="Arial"/>
                <w:sz w:val="20"/>
                <w:szCs w:val="20"/>
              </w:rPr>
              <w:t>Stagiaire</w:t>
            </w:r>
            <w:proofErr w:type="spellEnd"/>
            <w:r w:rsidRPr="00564D7A">
              <w:rPr>
                <w:rFonts w:ascii="Arial" w:hAnsi="Arial" w:cs="Arial"/>
                <w:sz w:val="20"/>
                <w:szCs w:val="20"/>
              </w:rPr>
              <w:t xml:space="preserve"> en las Direcciones Generales de Presupuestos y de Fiscalidad de la Comisión de las Comunidades Europeas. Bruselas (1981).</w:t>
            </w:r>
          </w:p>
          <w:p w14:paraId="11034346" w14:textId="77777777" w:rsidR="00D73ADA" w:rsidRPr="00564D7A" w:rsidRDefault="00D73ADA" w:rsidP="00564D7A">
            <w:pPr>
              <w:rPr>
                <w:rFonts w:ascii="Arial" w:hAnsi="Arial" w:cs="Arial"/>
                <w:b/>
                <w:sz w:val="20"/>
                <w:szCs w:val="20"/>
                <w:u w:val="single"/>
              </w:rPr>
            </w:pPr>
            <w:r w:rsidRPr="00564D7A">
              <w:rPr>
                <w:rFonts w:ascii="Arial" w:hAnsi="Arial" w:cs="Arial"/>
                <w:sz w:val="20"/>
                <w:szCs w:val="20"/>
              </w:rPr>
              <w:t>-Director del Departamento de Derecho Financiero de la Facultad de Derecho de la Universidad de Granada (1983-1986)</w:t>
            </w:r>
          </w:p>
          <w:p w14:paraId="7EBF74B4" w14:textId="77777777" w:rsidR="00D73ADA" w:rsidRPr="00564D7A" w:rsidRDefault="00D73ADA" w:rsidP="00564D7A">
            <w:pPr>
              <w:rPr>
                <w:rFonts w:ascii="Arial" w:hAnsi="Arial" w:cs="Arial"/>
                <w:sz w:val="20"/>
                <w:szCs w:val="20"/>
              </w:rPr>
            </w:pPr>
            <w:r w:rsidRPr="00564D7A">
              <w:rPr>
                <w:rFonts w:ascii="Arial" w:hAnsi="Arial" w:cs="Arial"/>
                <w:sz w:val="20"/>
                <w:szCs w:val="20"/>
              </w:rPr>
              <w:t>-Catedrático de Derecho Financiero y Tributario desde noviembre de 1986.</w:t>
            </w:r>
          </w:p>
          <w:p w14:paraId="3B45B682" w14:textId="77777777" w:rsidR="00D73ADA" w:rsidRPr="00564D7A" w:rsidRDefault="00D73ADA" w:rsidP="00564D7A">
            <w:pPr>
              <w:rPr>
                <w:rFonts w:ascii="Arial" w:hAnsi="Arial" w:cs="Arial"/>
                <w:sz w:val="20"/>
                <w:szCs w:val="20"/>
              </w:rPr>
            </w:pPr>
            <w:r w:rsidRPr="00564D7A">
              <w:rPr>
                <w:rFonts w:ascii="Arial" w:hAnsi="Arial" w:cs="Arial"/>
                <w:sz w:val="20"/>
                <w:szCs w:val="20"/>
              </w:rPr>
              <w:t>-Ex-Letrado del Tribunal Constitucional (1990-1991).</w:t>
            </w:r>
          </w:p>
          <w:p w14:paraId="1D42FBEF" w14:textId="77777777" w:rsidR="00D73ADA" w:rsidRPr="00564D7A" w:rsidRDefault="00D73ADA" w:rsidP="00564D7A">
            <w:pPr>
              <w:rPr>
                <w:rFonts w:ascii="Arial" w:hAnsi="Arial" w:cs="Arial"/>
                <w:sz w:val="20"/>
                <w:szCs w:val="20"/>
              </w:rPr>
            </w:pPr>
            <w:r w:rsidRPr="00564D7A">
              <w:rPr>
                <w:rFonts w:ascii="Arial" w:hAnsi="Arial" w:cs="Arial"/>
                <w:sz w:val="20"/>
                <w:szCs w:val="20"/>
              </w:rPr>
              <w:t>-Director del Departamento de Derecho Financiero de la Facultad de Derecho de la Universidad Complutense (1994-1996).</w:t>
            </w:r>
          </w:p>
          <w:p w14:paraId="770FF9CC" w14:textId="77777777" w:rsidR="00D73ADA" w:rsidRPr="00564D7A" w:rsidRDefault="00D73ADA" w:rsidP="00564D7A">
            <w:pPr>
              <w:rPr>
                <w:rFonts w:ascii="Arial" w:hAnsi="Arial" w:cs="Arial"/>
                <w:sz w:val="20"/>
                <w:szCs w:val="20"/>
              </w:rPr>
            </w:pPr>
            <w:r w:rsidRPr="00564D7A">
              <w:rPr>
                <w:rFonts w:ascii="Arial" w:hAnsi="Arial" w:cs="Arial"/>
                <w:sz w:val="20"/>
                <w:szCs w:val="20"/>
              </w:rPr>
              <w:t>-Miembro de la Comisión Técnica para el estudio del nuevo modelo de Financiación Autonómica, Ministerio de Economía y Hacienda (1996-1997).</w:t>
            </w:r>
          </w:p>
          <w:p w14:paraId="18E30875" w14:textId="77777777" w:rsidR="00D73ADA" w:rsidRPr="00564D7A" w:rsidRDefault="00D73ADA" w:rsidP="00564D7A">
            <w:pPr>
              <w:rPr>
                <w:rFonts w:ascii="Arial" w:hAnsi="Arial" w:cs="Arial"/>
                <w:sz w:val="20"/>
                <w:szCs w:val="20"/>
              </w:rPr>
            </w:pPr>
            <w:r w:rsidRPr="00564D7A">
              <w:rPr>
                <w:rFonts w:ascii="Arial" w:hAnsi="Arial" w:cs="Arial"/>
                <w:sz w:val="20"/>
                <w:szCs w:val="20"/>
              </w:rPr>
              <w:t>-Miembro de la Comisión Técnica para el estudio de la Reforma de la Hacienda Local (1997-2001).</w:t>
            </w:r>
          </w:p>
          <w:p w14:paraId="68CBA73E"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 xml:space="preserve"> -Ex-Vocal del Consejo para la Defensa del Contribuyente, Secretaría de Estado de Hacienda (1997-2001).</w:t>
            </w:r>
          </w:p>
          <w:p w14:paraId="1B56C961"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-Ex-Coordinador del Área de Ciencias Jurídicas de la Agencia Nacional de  Evaluación y Prospectiva (Ministerio de Ciencia y Tecnología).</w:t>
            </w:r>
          </w:p>
          <w:p w14:paraId="75E45762"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 xml:space="preserve">-Ex-Director de la Cátedra Internacional de Municipalismo (2003).  </w:t>
            </w:r>
          </w:p>
          <w:p w14:paraId="7880F2EC"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 Ex-Secretario del Instituto de Derecho Comparado (Universidad Complutense de Madrid) (2000-2008).</w:t>
            </w:r>
          </w:p>
          <w:p w14:paraId="5006B3F7"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-Ex-Miembro del Comité Asesor de la Fundación Internacional y para Iberoamérica de Administración y Políticas Públicas.</w:t>
            </w:r>
          </w:p>
          <w:p w14:paraId="228547CB"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 Ex-Vocal del Consejo Rector de la Agencia Tributaria del Ayuntamiento de Madrid (2006-2014).</w:t>
            </w:r>
          </w:p>
          <w:p w14:paraId="687E6A80" w14:textId="77777777" w:rsidR="00D73ADA" w:rsidRPr="00564D7A" w:rsidRDefault="00D73ADA" w:rsidP="00564D7A">
            <w:pPr>
              <w:pStyle w:val="Sangradetextonormal"/>
              <w:spacing w:after="0"/>
              <w:ind w:left="0"/>
              <w:rPr>
                <w:rFonts w:ascii="Arial" w:hAnsi="Arial" w:cs="Arial"/>
                <w:sz w:val="20"/>
                <w:szCs w:val="20"/>
              </w:rPr>
            </w:pPr>
            <w:r w:rsidRPr="00564D7A">
              <w:rPr>
                <w:rFonts w:ascii="Arial" w:hAnsi="Arial" w:cs="Arial"/>
                <w:sz w:val="20"/>
                <w:szCs w:val="20"/>
              </w:rPr>
              <w:t xml:space="preserve">  -Presidente de la Junta Arbitral del Concierto Económico con el País Vasco desde 2014.</w:t>
            </w:r>
          </w:p>
          <w:p w14:paraId="5630AD66" w14:textId="12162A72" w:rsidR="00D73ADA" w:rsidRPr="00564D7A" w:rsidRDefault="008C26EC" w:rsidP="00564D7A">
            <w:pPr>
              <w:pStyle w:val="Sangradetextonormal"/>
              <w:spacing w:after="0"/>
              <w:ind w:left="0"/>
              <w:rPr>
                <w:rFonts w:ascii="Arial" w:hAnsi="Arial" w:cs="Arial"/>
                <w:sz w:val="20"/>
                <w:szCs w:val="20"/>
              </w:rPr>
            </w:pPr>
            <w:r>
              <w:rPr>
                <w:rFonts w:ascii="Arial" w:hAnsi="Arial" w:cs="Arial"/>
                <w:sz w:val="20"/>
                <w:szCs w:val="20"/>
              </w:rPr>
              <w:lastRenderedPageBreak/>
              <w:t>- Presidente de la Sección de Derecho Tributario del Colegio de Abogados de Madrid.</w:t>
            </w:r>
          </w:p>
          <w:p w14:paraId="61829076" w14:textId="77777777" w:rsidR="001D7F79" w:rsidRPr="00564D7A" w:rsidRDefault="001D7F79" w:rsidP="00564D7A">
            <w:pPr>
              <w:rPr>
                <w:rFonts w:ascii="Arial" w:hAnsi="Arial" w:cs="Arial"/>
                <w:sz w:val="20"/>
                <w:szCs w:val="20"/>
              </w:rPr>
            </w:pPr>
          </w:p>
        </w:tc>
      </w:tr>
    </w:tbl>
    <w:p w14:paraId="2BA226A1" w14:textId="77777777"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A4AB" w14:textId="77777777" w:rsidR="005E1A76" w:rsidRDefault="005E1A76" w:rsidP="001D7F79">
      <w:pPr>
        <w:spacing w:after="0" w:line="240" w:lineRule="auto"/>
      </w:pPr>
      <w:r>
        <w:separator/>
      </w:r>
    </w:p>
  </w:endnote>
  <w:endnote w:type="continuationSeparator" w:id="0">
    <w:p w14:paraId="675595BB" w14:textId="77777777" w:rsidR="005E1A76" w:rsidRDefault="005E1A76"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0D3C" w14:textId="77777777"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DBDC" w14:textId="77777777"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3A47D" w14:textId="77777777" w:rsidR="005E1A76" w:rsidRDefault="005E1A76" w:rsidP="001D7F79">
      <w:pPr>
        <w:spacing w:after="0" w:line="240" w:lineRule="auto"/>
      </w:pPr>
      <w:r>
        <w:separator/>
      </w:r>
    </w:p>
  </w:footnote>
  <w:footnote w:type="continuationSeparator" w:id="0">
    <w:p w14:paraId="6C61FE33" w14:textId="77777777" w:rsidR="005E1A76" w:rsidRDefault="005E1A76"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4FF1" w14:textId="77777777"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3B2" w14:textId="77777777" w:rsidR="001D7F79" w:rsidRDefault="001D7F79" w:rsidP="001D7F79">
    <w:pPr>
      <w:pStyle w:val="Encabezado"/>
      <w:ind w:left="-142"/>
    </w:pPr>
    <w:r w:rsidRPr="001D7F79">
      <w:rPr>
        <w:noProof/>
        <w:lang w:eastAsia="es-ES"/>
      </w:rPr>
      <w:drawing>
        <wp:inline distT="0" distB="0" distL="0" distR="0" wp14:anchorId="1797B039" wp14:editId="07777777">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14:paraId="0DE4B5B7" w14:textId="77777777"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4E5D" w14:textId="77777777"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91B"/>
    <w:multiLevelType w:val="singleLevel"/>
    <w:tmpl w:val="9A52B1C8"/>
    <w:lvl w:ilvl="0">
      <w:numFmt w:val="bullet"/>
      <w:lvlText w:val="-"/>
      <w:lvlJc w:val="left"/>
      <w:pPr>
        <w:tabs>
          <w:tab w:val="num" w:pos="1069"/>
        </w:tabs>
        <w:ind w:left="1069" w:hanging="360"/>
      </w:pPr>
      <w:rPr>
        <w:rFonts w:hint="default"/>
      </w:rPr>
    </w:lvl>
  </w:abstractNum>
  <w:abstractNum w:abstractNumId="1">
    <w:nsid w:val="41E10D86"/>
    <w:multiLevelType w:val="singleLevel"/>
    <w:tmpl w:val="9A52B1C8"/>
    <w:lvl w:ilvl="0">
      <w:start w:val="2"/>
      <w:numFmt w:val="bullet"/>
      <w:lvlText w:val="-"/>
      <w:lvlJc w:val="left"/>
      <w:pPr>
        <w:tabs>
          <w:tab w:val="num" w:pos="1069"/>
        </w:tabs>
        <w:ind w:left="1069" w:hanging="360"/>
      </w:pPr>
      <w:rPr>
        <w:rFonts w:hint="default"/>
      </w:rPr>
    </w:lvl>
  </w:abstractNum>
  <w:abstractNum w:abstractNumId="2">
    <w:nsid w:val="497970FB"/>
    <w:multiLevelType w:val="singleLevel"/>
    <w:tmpl w:val="31167334"/>
    <w:lvl w:ilvl="0">
      <w:start w:val="1"/>
      <w:numFmt w:val="decimal"/>
      <w:lvlText w:val="%1."/>
      <w:lvlJc w:val="left"/>
      <w:pPr>
        <w:tabs>
          <w:tab w:val="num" w:pos="1069"/>
        </w:tabs>
        <w:ind w:left="1069" w:hanging="360"/>
      </w:pPr>
      <w:rPr>
        <w:rFonts w:hint="default"/>
      </w:rPr>
    </w:lvl>
  </w:abstractNum>
  <w:abstractNum w:abstractNumId="3">
    <w:nsid w:val="7F0532E3"/>
    <w:multiLevelType w:val="singleLevel"/>
    <w:tmpl w:val="9A52B1C8"/>
    <w:lvl w:ilvl="0">
      <w:start w:val="2"/>
      <w:numFmt w:val="bullet"/>
      <w:lvlText w:val="-"/>
      <w:lvlJc w:val="left"/>
      <w:pPr>
        <w:tabs>
          <w:tab w:val="num" w:pos="1069"/>
        </w:tabs>
        <w:ind w:left="1069"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45E2F"/>
    <w:rsid w:val="00087942"/>
    <w:rsid w:val="000C1074"/>
    <w:rsid w:val="000D7A4B"/>
    <w:rsid w:val="00111DFA"/>
    <w:rsid w:val="001139AD"/>
    <w:rsid w:val="0012179E"/>
    <w:rsid w:val="00126A29"/>
    <w:rsid w:val="00191B18"/>
    <w:rsid w:val="001B272D"/>
    <w:rsid w:val="001D5804"/>
    <w:rsid w:val="001D7F79"/>
    <w:rsid w:val="00230E8F"/>
    <w:rsid w:val="002605DE"/>
    <w:rsid w:val="002726C7"/>
    <w:rsid w:val="002E0289"/>
    <w:rsid w:val="003277AA"/>
    <w:rsid w:val="0038106B"/>
    <w:rsid w:val="003A369F"/>
    <w:rsid w:val="004D76B6"/>
    <w:rsid w:val="00506DA3"/>
    <w:rsid w:val="00553C69"/>
    <w:rsid w:val="0055671E"/>
    <w:rsid w:val="00564D7A"/>
    <w:rsid w:val="005A2BA0"/>
    <w:rsid w:val="005B38F9"/>
    <w:rsid w:val="005E1A76"/>
    <w:rsid w:val="0063576A"/>
    <w:rsid w:val="00665BFF"/>
    <w:rsid w:val="006A0346"/>
    <w:rsid w:val="006E5F82"/>
    <w:rsid w:val="00735B2C"/>
    <w:rsid w:val="007579F8"/>
    <w:rsid w:val="00760D07"/>
    <w:rsid w:val="00780D55"/>
    <w:rsid w:val="007D3B49"/>
    <w:rsid w:val="00863858"/>
    <w:rsid w:val="008C046A"/>
    <w:rsid w:val="008C26EC"/>
    <w:rsid w:val="00974CD4"/>
    <w:rsid w:val="00990AA2"/>
    <w:rsid w:val="00A06A83"/>
    <w:rsid w:val="00A534EF"/>
    <w:rsid w:val="00A817B5"/>
    <w:rsid w:val="00A9041C"/>
    <w:rsid w:val="00AA6974"/>
    <w:rsid w:val="00AE27A6"/>
    <w:rsid w:val="00B10ED9"/>
    <w:rsid w:val="00B32F6A"/>
    <w:rsid w:val="00BB05DB"/>
    <w:rsid w:val="00BD0BAB"/>
    <w:rsid w:val="00BF0367"/>
    <w:rsid w:val="00C37476"/>
    <w:rsid w:val="00CC3283"/>
    <w:rsid w:val="00D20FEB"/>
    <w:rsid w:val="00D73ADA"/>
    <w:rsid w:val="00D9018D"/>
    <w:rsid w:val="00E12336"/>
    <w:rsid w:val="00ED4FB1"/>
    <w:rsid w:val="00EF2C9D"/>
    <w:rsid w:val="00F12F70"/>
    <w:rsid w:val="00F249AD"/>
    <w:rsid w:val="00F36336"/>
    <w:rsid w:val="00F46039"/>
    <w:rsid w:val="00F77EB7"/>
    <w:rsid w:val="00F916D0"/>
    <w:rsid w:val="00FD70F5"/>
    <w:rsid w:val="00FE57C1"/>
    <w:rsid w:val="5BFDD365"/>
    <w:rsid w:val="6C61D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A1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Sangradetextonormal">
    <w:name w:val="Body Text Indent"/>
    <w:basedOn w:val="Normal"/>
    <w:link w:val="SangradetextonormalCar"/>
    <w:uiPriority w:val="99"/>
    <w:unhideWhenUsed/>
    <w:rsid w:val="00045E2F"/>
    <w:pPr>
      <w:widowControl w:val="0"/>
      <w:suppressAutoHyphens/>
      <w:spacing w:after="120" w:line="240" w:lineRule="auto"/>
      <w:ind w:left="283"/>
    </w:pPr>
    <w:rPr>
      <w:rFonts w:ascii="Times New Roman" w:eastAsia="DejaVu Sans" w:hAnsi="Times New Roman" w:cs="Times New Roman"/>
      <w:kern w:val="1"/>
      <w:sz w:val="24"/>
      <w:szCs w:val="24"/>
      <w:lang w:eastAsia="zh-CN"/>
    </w:rPr>
  </w:style>
  <w:style w:type="character" w:customStyle="1" w:styleId="SangradetextonormalCar">
    <w:name w:val="Sangría de texto normal Car"/>
    <w:basedOn w:val="Fuentedeprrafopredeter"/>
    <w:link w:val="Sangradetextonormal"/>
    <w:uiPriority w:val="99"/>
    <w:rsid w:val="00045E2F"/>
    <w:rPr>
      <w:rFonts w:ascii="Times New Roman" w:eastAsia="DejaVu Sans"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Sangradetextonormal">
    <w:name w:val="Body Text Indent"/>
    <w:basedOn w:val="Normal"/>
    <w:link w:val="SangradetextonormalCar"/>
    <w:uiPriority w:val="99"/>
    <w:unhideWhenUsed/>
    <w:rsid w:val="00045E2F"/>
    <w:pPr>
      <w:widowControl w:val="0"/>
      <w:suppressAutoHyphens/>
      <w:spacing w:after="120" w:line="240" w:lineRule="auto"/>
      <w:ind w:left="283"/>
    </w:pPr>
    <w:rPr>
      <w:rFonts w:ascii="Times New Roman" w:eastAsia="DejaVu Sans" w:hAnsi="Times New Roman" w:cs="Times New Roman"/>
      <w:kern w:val="1"/>
      <w:sz w:val="24"/>
      <w:szCs w:val="24"/>
      <w:lang w:eastAsia="zh-CN"/>
    </w:rPr>
  </w:style>
  <w:style w:type="character" w:customStyle="1" w:styleId="SangradetextonormalCar">
    <w:name w:val="Sangría de texto normal Car"/>
    <w:basedOn w:val="Fuentedeprrafopredeter"/>
    <w:link w:val="Sangradetextonormal"/>
    <w:uiPriority w:val="99"/>
    <w:rsid w:val="00045E2F"/>
    <w:rPr>
      <w:rFonts w:ascii="Times New Roman" w:eastAsia="DejaVu Sans"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4</cp:revision>
  <dcterms:created xsi:type="dcterms:W3CDTF">2019-04-23T09:47:00Z</dcterms:created>
  <dcterms:modified xsi:type="dcterms:W3CDTF">2019-06-20T14:23:00Z</dcterms:modified>
</cp:coreProperties>
</file>